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color w:val="111827"/>
          <w:sz w:val="56"/>
          <w:szCs w:val="56"/>
        </w:rPr>
        <w:t xml:space="preserve">The Mach33 Modelling Constitution</w:t>
      </w:r>
    </w:p>
    <w:p>
      <w:pPr>
        <w:spacing w:after="480" w:before="0"/>
        <w:jc w:val="center"/>
      </w:pPr>
      <w:r>
        <w:rPr>
          <w:rFonts w:ascii="Calibri" w:cs="Calibri" w:eastAsia="Calibri" w:hAnsi="Calibri"/>
          <w:i/>
          <w:iCs/>
          <w:color w:val="5B5563"/>
          <w:sz w:val="22"/>
          <w:szCs w:val="22"/>
        </w:rPr>
        <w:t xml:space="preserve">Lessons from the SpaceX V0–V30.5 build and the rebuild that followed</w:t>
      </w:r>
    </w:p>
    <w:p>
      <w:pPr>
        <w:pStyle w:val="Heading1"/>
        <w:pBdr>
          <w:bottom w:val="single" w:color="C7BCA1" w:sz="8" w:space="6"/>
        </w:pBdr>
        <w:spacing w:after="200" w:before="480"/>
      </w:pPr>
      <w:r>
        <w:rPr>
          <w:rFonts w:ascii="Calibri" w:cs="Calibri" w:eastAsia="Calibri" w:hAnsi="Calibri"/>
          <w:b/>
          <w:bCs/>
          <w:color w:val="1F2937"/>
          <w:sz w:val="32"/>
          <w:szCs w:val="32"/>
        </w:rPr>
        <w:t xml:space="preserve">Preamble</w:t>
      </w:r>
    </w:p>
    <w:p>
      <w:pPr>
        <w:spacing w:after="120" w:before="80" w:line="300"/>
        <w:jc w:val="left"/>
      </w:pPr>
      <w:r>
        <w:rPr>
          <w:rFonts w:ascii="Calibri" w:cs="Calibri" w:eastAsia="Calibri" w:hAnsi="Calibri"/>
          <w:b w:val="false"/>
          <w:bCs w:val="false"/>
          <w:i w:val="false"/>
          <w:iCs w:val="false"/>
          <w:color w:val="1F2937"/>
          <w:sz w:val="22"/>
          <w:szCs w:val="22"/>
        </w:rPr>
        <w:t xml:space="preserve">A financial model is not a spreadsheet. It is a system of claims about a business: what it produces, what it consumes, what it returns, and under what uncertainty. Every commandment below exists because a previous version of a Mach33 model violated it, and the violation cost a sprint, a calibration target, or a thesis.</w:t>
      </w:r>
    </w:p>
    <w:p>
      <w:pPr>
        <w:spacing w:after="200" w:before="160" w:line="320"/>
        <w:ind w:left="720" w:right="720"/>
        <w:jc w:val="left"/>
      </w:pPr>
      <w:r>
        <w:rPr>
          <w:rFonts w:ascii="Calibri" w:cs="Calibri" w:eastAsia="Calibri" w:hAnsi="Calibri"/>
          <w:i/>
          <w:iCs/>
          <w:color w:val="5B5563"/>
          <w:sz w:val="22"/>
          <w:szCs w:val="22"/>
        </w:rPr>
        <w:t xml:space="preserve">The rules are not opinions. They are scars.</w:t>
      </w:r>
    </w:p>
    <w:p>
      <w:pPr>
        <w:pStyle w:val="Heading1"/>
        <w:pBdr>
          <w:bottom w:val="single" w:color="C7BCA1" w:sz="8" w:space="6"/>
        </w:pBdr>
        <w:spacing w:after="200" w:before="480"/>
      </w:pPr>
      <w:r>
        <w:rPr>
          <w:rFonts w:ascii="Calibri" w:cs="Calibri" w:eastAsia="Calibri" w:hAnsi="Calibri"/>
          <w:b/>
          <w:bCs/>
          <w:color w:val="1F2937"/>
          <w:sz w:val="32"/>
          <w:szCs w:val="32"/>
        </w:rPr>
        <w:t xml:space="preserve">Chapter I — Architecture before plumbing</w:t>
      </w:r>
    </w:p>
    <w:p>
      <w:pPr>
        <w:pStyle w:val="Heading2"/>
        <w:spacing w:after="80" w:before="320"/>
      </w:pPr>
      <w:r>
        <w:rPr>
          <w:rFonts w:ascii="Calibri" w:cs="Calibri" w:eastAsia="Calibri" w:hAnsi="Calibri"/>
          <w:b/>
          <w:bCs/>
          <w:color w:val="B91C1C"/>
          <w:sz w:val="26"/>
          <w:szCs w:val="26"/>
        </w:rPr>
        <w:t xml:space="preserve">Article 1.  </w:t>
      </w:r>
      <w:r>
        <w:rPr>
          <w:rFonts w:ascii="Calibri" w:cs="Calibri" w:eastAsia="Calibri" w:hAnsi="Calibri"/>
          <w:b/>
          <w:bCs/>
          <w:color w:val="0F172A"/>
          <w:sz w:val="26"/>
          <w:szCs w:val="26"/>
        </w:rPr>
        <w:t xml:space="preserve">Lock the architecture spec before writing a single sprint spec.</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The first artefact of any new model is an architecture spec that names the modules, the inter-module flows, the cash and capacity allocators, the strategic carve-outs, the P&amp;L convention, and the IRR engine pattern. No sprint spec is drafted until the architecture spec is signed off.</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Vending-machine framing, the allocator circle, per-sat IRR, and the queue gate all arrived late in the SpaceX build. Retrofitting them across thirty specs cost more than rebuilding. Architectural decisions made under sprint pressure are architectural debt.</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The architecture spec is one document, dated, with a Decisions Locked section. Sprint specs that want to deviate must update the architecture spec first, with reasoning. Locked decisions are not relitigated inside a sprint spec.</w:t>
      </w:r>
    </w:p>
    <w:p>
      <w:pPr>
        <w:pStyle w:val="Heading2"/>
        <w:spacing w:after="80" w:before="320"/>
      </w:pPr>
      <w:r>
        <w:rPr>
          <w:rFonts w:ascii="Calibri" w:cs="Calibri" w:eastAsia="Calibri" w:hAnsi="Calibri"/>
          <w:b/>
          <w:bCs/>
          <w:color w:val="B91C1C"/>
          <w:sz w:val="26"/>
          <w:szCs w:val="26"/>
        </w:rPr>
        <w:t xml:space="preserve">Article 2.  </w:t>
      </w:r>
      <w:r>
        <w:rPr>
          <w:rFonts w:ascii="Calibri" w:cs="Calibri" w:eastAsia="Calibri" w:hAnsi="Calibri"/>
          <w:b/>
          <w:bCs/>
          <w:color w:val="0F172A"/>
          <w:sz w:val="26"/>
          <w:szCs w:val="26"/>
        </w:rPr>
        <w:t xml:space="preserve">Every module is a vending machine, not a business unit.</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Each module's P&amp;L collapses to Revenue → COGS → Gross Profit (= Module EBITDA) → CapEx → Module FCF. Corporate R&amp;D, SG&amp;A, overhead, taxes, and eliminations live only at Group P&amp;L. There is exactly one EBITDA definition workbook-wide.</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Multiple EBITDA definitions across modules poisoned the V23 allocator: the sigmoid was comparing apples and oranges. Vending-machine framing makes module IRRs pre-overhead and directly comparable. It also makes module CapEx a single number, which is what an allocator needs.</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Module COGS contains direct production costs only — fleet D&amp;A, internal transfer costs at-cost, spectrum amortization, customer-acquisition cost, insurance, per-unit variable cost. Everything else is Group. No module ever sees a tax rate. No module ever allocates corporate overhead.</w:t>
      </w:r>
    </w:p>
    <w:p>
      <w:pPr>
        <w:pStyle w:val="Heading2"/>
        <w:spacing w:after="80" w:before="320"/>
      </w:pPr>
      <w:r>
        <w:rPr>
          <w:rFonts w:ascii="Calibri" w:cs="Calibri" w:eastAsia="Calibri" w:hAnsi="Calibri"/>
          <w:b/>
          <w:bCs/>
          <w:color w:val="B91C1C"/>
          <w:sz w:val="26"/>
          <w:szCs w:val="26"/>
        </w:rPr>
        <w:t xml:space="preserve">Article 3.  </w:t>
      </w:r>
      <w:r>
        <w:rPr>
          <w:rFonts w:ascii="Calibri" w:cs="Calibri" w:eastAsia="Calibri" w:hAnsi="Calibri"/>
          <w:b/>
          <w:bCs/>
          <w:color w:val="0F172A"/>
          <w:sz w:val="26"/>
          <w:szCs w:val="26"/>
        </w:rPr>
        <w:t xml:space="preserve">Inter-module transfers are at cost. Eliminations live at Group.</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When one module consumes another's output, the producing module books internal transfer revenue at fully-loaded cost and the consuming module books the same number as COGS. The two eliminate at Group. External margin sits with the producer.</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Margin on internal transfers double-counts at the group level and distorts module IRRs in the allocator. The capacity producer must not appear more profitable than it is on the strength of internal demand it has artificially priced.</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Internal transfer revenue and the matching COGS line are conservation-checked on Group P&amp;L from the first sprint they exist. The check is a hard zero, not approximately.</w:t>
      </w:r>
    </w:p>
    <w:p>
      <w:pPr>
        <w:pStyle w:val="Heading2"/>
        <w:spacing w:after="80" w:before="320"/>
      </w:pPr>
      <w:r>
        <w:rPr>
          <w:rFonts w:ascii="Calibri" w:cs="Calibri" w:eastAsia="Calibri" w:hAnsi="Calibri"/>
          <w:b/>
          <w:bCs/>
          <w:color w:val="B91C1C"/>
          <w:sz w:val="26"/>
          <w:szCs w:val="26"/>
        </w:rPr>
        <w:t xml:space="preserve">Article 4.  </w:t>
      </w:r>
      <w:r>
        <w:rPr>
          <w:rFonts w:ascii="Calibri" w:cs="Calibri" w:eastAsia="Calibri" w:hAnsi="Calibri"/>
          <w:b/>
          <w:bCs/>
          <w:color w:val="0F172A"/>
          <w:sz w:val="26"/>
          <w:szCs w:val="26"/>
        </w:rPr>
        <w:t xml:space="preserve">Strategic carve-outs are cash-deducted before the IRR queue runs.</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Mission-driven modules (lunar, Mars, defence) that exist for strategic rather than financial reasons do not compete in the IRR queue. Their funding is a carve-out from the cash pool, deducted before any allocator logic touches the remainder.</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Forcing strategic missions through an IRR sigmoid produces one of two failures: either they get zero allocation forever, or you compromise the sigmoid with priority weights that make every allocation arbitrary. The carve-out keeps the IRR engine clean and acknowledges the real decision.</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Size the carve-out as MAX(floor, prior_FCF × carve_pct) so it scales with available cash but never starves below a minimum. Strategic-mission build rates are driven by carve-out cash divided by per-unit cost, not by an IRR.</w:t>
      </w:r>
    </w:p>
    <w:p>
      <w:pPr>
        <w:pStyle w:val="Heading2"/>
        <w:spacing w:after="80" w:before="320"/>
      </w:pPr>
      <w:r>
        <w:rPr>
          <w:rFonts w:ascii="Calibri" w:cs="Calibri" w:eastAsia="Calibri" w:hAnsi="Calibri"/>
          <w:b/>
          <w:bCs/>
          <w:color w:val="B91C1C"/>
          <w:sz w:val="26"/>
          <w:szCs w:val="26"/>
        </w:rPr>
        <w:t xml:space="preserve">Article 5.  </w:t>
      </w:r>
      <w:r>
        <w:rPr>
          <w:rFonts w:ascii="Calibri" w:cs="Calibri" w:eastAsia="Calibri" w:hAnsi="Calibri"/>
          <w:b/>
          <w:bCs/>
          <w:color w:val="0F172A"/>
          <w:sz w:val="26"/>
          <w:szCs w:val="26"/>
        </w:rPr>
        <w:t xml:space="preserve">Separate capacity from revenue.</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Modules that produce a capacity good (kg-to-LEO, sat-Gbps, MWh of compute) get a dedicated Capacity tab. The capacity tab aggregates supply, allocates internal claims at cost, and leaves the remainder for the revenue tab to monetise externally.</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Capacity and revenue entangled on the same tab produce overstated revenue (no internal-claim deduction), missing inter-module costs (no transfer pricing), and unobservable conservation (can't check sold + internal = total). Dedicated capacity tabs fix all three.</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Capacity tab structure: aggregate supply → internal claims → available external → at-cost transfer pricing → conservation block. Revenue tabs read available external capacity, never gross capacity.</w:t>
      </w:r>
    </w:p>
    <w:p>
      <w:pPr>
        <w:pStyle w:val="Heading2"/>
        <w:spacing w:after="80" w:before="320"/>
      </w:pPr>
      <w:r>
        <w:rPr>
          <w:rFonts w:ascii="Calibri" w:cs="Calibri" w:eastAsia="Calibri" w:hAnsi="Calibri"/>
          <w:b/>
          <w:bCs/>
          <w:color w:val="B91C1C"/>
          <w:sz w:val="26"/>
          <w:szCs w:val="26"/>
        </w:rPr>
        <w:t xml:space="preserve">Article 6.  </w:t>
      </w:r>
      <w:r>
        <w:rPr>
          <w:rFonts w:ascii="Calibri" w:cs="Calibri" w:eastAsia="Calibri" w:hAnsi="Calibri"/>
          <w:b/>
          <w:bCs/>
          <w:color w:val="0F172A"/>
          <w:sz w:val="26"/>
          <w:szCs w:val="26"/>
        </w:rPr>
        <w:t xml:space="preserve">Cut modules without a thesis. Defer modules whose submodel is being built externally.</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A module the firm cannot defend with a settled or working thesis does not belong in the integrated model. A module whose dedicated submodel is being built externally does not get a strawman in the integrated model.</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ISM was cut because Mach33 had no concrete thesis to anchor it. AI Stack was deferred until the internal submodel landed because a strawman would have wasted structure that the real submodel then had to rip out and replace.</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Stub the Allocator OUT contract with zeros and a one-line note in the architecture spec. Do not draft module content. When the thesis or submodel arrives, port it as a single dedicated spec. Resist the urge to get something in there.</w:t>
      </w:r>
    </w:p>
    <w:p>
      <w:pPr>
        <w:pStyle w:val="Heading1"/>
        <w:pBdr>
          <w:bottom w:val="single" w:color="C7BCA1" w:sz="8" w:space="6"/>
        </w:pBdr>
        <w:spacing w:after="200" w:before="480"/>
      </w:pPr>
      <w:r>
        <w:rPr>
          <w:rFonts w:ascii="Calibri" w:cs="Calibri" w:eastAsia="Calibri" w:hAnsi="Calibri"/>
          <w:b/>
          <w:bCs/>
          <w:color w:val="1F2937"/>
          <w:sz w:val="32"/>
          <w:szCs w:val="32"/>
        </w:rPr>
        <w:t xml:space="preserve">Chapter II — Reference discipline</w:t>
      </w:r>
    </w:p>
    <w:p>
      <w:pPr>
        <w:pStyle w:val="Heading2"/>
        <w:spacing w:after="80" w:before="320"/>
      </w:pPr>
      <w:r>
        <w:rPr>
          <w:rFonts w:ascii="Calibri" w:cs="Calibri" w:eastAsia="Calibri" w:hAnsi="Calibri"/>
          <w:b/>
          <w:bCs/>
          <w:color w:val="B91C1C"/>
          <w:sz w:val="26"/>
          <w:szCs w:val="26"/>
        </w:rPr>
        <w:t xml:space="preserve">Article 7.  </w:t>
      </w:r>
      <w:r>
        <w:rPr>
          <w:rFonts w:ascii="Calibri" w:cs="Calibri" w:eastAsia="Calibri" w:hAnsi="Calibri"/>
          <w:b/>
          <w:bCs/>
          <w:color w:val="0F172A"/>
          <w:sz w:val="26"/>
          <w:szCs w:val="26"/>
        </w:rPr>
        <w:t xml:space="preserve">Cross-tab references by row label, never by row number.</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Every cross-tab reference uses INDEX/MATCH on a row label. Zero hardcoded =Module!D200-style row-number refs.</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Mid-sprint row insertions silently shift contract blocks. Excel auto-shifts the existing refs, so nothing visibly breaks — but any future spec that names the old row number is now wrong, and the bug surfaces three sprints later as a single cell pulling the wrong line.</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Every cross-tab pull uses INDEX(MATCH("Label", LabelColumn, 0), YearColumn). Specs refer to the Total Revenue contract row, not R202. The allocator OUT block is a label contract, not an address contract.</w:t>
      </w:r>
    </w:p>
    <w:p>
      <w:pPr>
        <w:pStyle w:val="Heading2"/>
        <w:spacing w:after="80" w:before="320"/>
      </w:pPr>
      <w:r>
        <w:rPr>
          <w:rFonts w:ascii="Calibri" w:cs="Calibri" w:eastAsia="Calibri" w:hAnsi="Calibri"/>
          <w:b/>
          <w:bCs/>
          <w:color w:val="B91C1C"/>
          <w:sz w:val="26"/>
          <w:szCs w:val="26"/>
        </w:rPr>
        <w:t xml:space="preserve">Article 8.  </w:t>
      </w:r>
      <w:r>
        <w:rPr>
          <w:rFonts w:ascii="Calibri" w:cs="Calibri" w:eastAsia="Calibri" w:hAnsi="Calibri"/>
          <w:b/>
          <w:bCs/>
          <w:color w:val="0F172A"/>
          <w:sz w:val="26"/>
          <w:szCs w:val="26"/>
        </w:rPr>
        <w:t xml:space="preserve">Anchor-and-offset for year-row ramps. No prior-column chasing.</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Year-row deterministic ramps (bounded CAGR, profiles, step functions) reference an absolute anchor cell plus a year-offset row. The recursive this_year = prior_year × growth form is forbidden.</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Prior-column chains mean rows cannot be moved or reorganised without breaking formulas. Anchor-and-offset references one absolute anchor and a year-offset cell on the same column; every cell in the row has the same form. Row inserts and tab restructurings stop being structural risks.</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Add a Year Offset helper row directly below the year header on every tab (D=0, E=1, ..., last column = horizon length). Bounded-CAGR pattern: =IF(rate&gt;=0, MIN(cap, anchor*(1+rate)^E$offset), MAX(floor, anchor*(1+rate)^E$offset)). Year-chained logic (BoY+net-adds=EoY, cumulative sums, year-over-year deltas) is the only allowed exception — flag it explicitly.</w:t>
      </w:r>
    </w:p>
    <w:p>
      <w:pPr>
        <w:pStyle w:val="Heading2"/>
        <w:spacing w:after="80" w:before="320"/>
      </w:pPr>
      <w:r>
        <w:rPr>
          <w:rFonts w:ascii="Calibri" w:cs="Calibri" w:eastAsia="Calibri" w:hAnsi="Calibri"/>
          <w:b/>
          <w:bCs/>
          <w:color w:val="B91C1C"/>
          <w:sz w:val="26"/>
          <w:szCs w:val="26"/>
        </w:rPr>
        <w:t xml:space="preserve">Article 9.  </w:t>
      </w:r>
      <w:r>
        <w:rPr>
          <w:rFonts w:ascii="Calibri" w:cs="Calibri" w:eastAsia="Calibri" w:hAnsi="Calibri"/>
          <w:b/>
          <w:bCs/>
          <w:color w:val="0F172A"/>
          <w:sz w:val="26"/>
          <w:szCs w:val="26"/>
        </w:rPr>
        <w:t xml:space="preserve">Ban OFFSET. Use INDEX-pair ranges for anything dynamic.</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OFFSET() does not appear in any production formula. Dynamic ranges are constructed as INDEX(range, start) : INDEX(range, end).</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OFFSET is volatile, opaque to dependency tracing, and silently breaks under audit. INDEX-pair ranges are non-volatile, transparent, and survive row insertions.</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Audit every new tab for OFFSET before sign-off. Replace on sight. Forward-window IRRs, rolling sums, and dynamic look-aheads all use INDEX pairs.</w:t>
      </w:r>
    </w:p>
    <w:p>
      <w:pPr>
        <w:pStyle w:val="Heading2"/>
        <w:spacing w:after="80" w:before="320"/>
      </w:pPr>
      <w:r>
        <w:rPr>
          <w:rFonts w:ascii="Calibri" w:cs="Calibri" w:eastAsia="Calibri" w:hAnsi="Calibri"/>
          <w:b/>
          <w:bCs/>
          <w:color w:val="B91C1C"/>
          <w:sz w:val="26"/>
          <w:szCs w:val="26"/>
        </w:rPr>
        <w:t xml:space="preserve">Article 10.  </w:t>
      </w:r>
      <w:r>
        <w:rPr>
          <w:rFonts w:ascii="Calibri" w:cs="Calibri" w:eastAsia="Calibri" w:hAnsi="Calibri"/>
          <w:b/>
          <w:bCs/>
          <w:color w:val="0F172A"/>
          <w:sz w:val="26"/>
          <w:szCs w:val="26"/>
        </w:rPr>
        <w:t xml:space="preserve">Enumerate touchpoints for every new line item.</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Any spec that adds, renames, or moves a line item lists every cell in the workbook that references it. The spec does not close until the touchpoints list is complete.</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Cross-tab refs to renamed or moved rows produce silent miscalculations. The model keeps running, the numbers keep changing, and nobody notices for three sprints. Enumeration forces the spec author to find every reference before the executor breaks any of them.</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A touchpoints subsection appears in every spec that adds or changes a row. Use grep / find-all to enumerate. Reading the workbook is cheaper than re-debugging it after a silent failure.</w:t>
      </w:r>
    </w:p>
    <w:p>
      <w:pPr>
        <w:pStyle w:val="Heading2"/>
        <w:spacing w:after="80" w:before="320"/>
      </w:pPr>
      <w:r>
        <w:rPr>
          <w:rFonts w:ascii="Calibri" w:cs="Calibri" w:eastAsia="Calibri" w:hAnsi="Calibri"/>
          <w:b/>
          <w:bCs/>
          <w:color w:val="B91C1C"/>
          <w:sz w:val="26"/>
          <w:szCs w:val="26"/>
        </w:rPr>
        <w:t xml:space="preserve">Article 11.  </w:t>
      </w:r>
      <w:r>
        <w:rPr>
          <w:rFonts w:ascii="Calibri" w:cs="Calibri" w:eastAsia="Calibri" w:hAnsi="Calibri"/>
          <w:b/>
          <w:bCs/>
          <w:color w:val="0F172A"/>
          <w:sz w:val="26"/>
          <w:szCs w:val="26"/>
        </w:rPr>
        <w:t xml:space="preserve">Stale-reference scan at the end of every spec.</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Every spec closes with a stale-reference scan of the Dashboard, Valuation, Allocator, and Group P&amp;L tabs: any hardcoded address, any reference to a renamed module, any pre-existing formula that touches the rows the spec changed.</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A spec that builds correctly inside its own module can still leave behind a Valuation cell pointing at the old D&amp;A row, a Dashboard cell reading the wrong EBITDA line, or an Allocator IN pulling the pre-rename label. The deep audits that surfaced these were expensive.</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The scan is its own spec section. The author lists what was checked and what was found. Empty findings are stated explicitly.</w:t>
      </w:r>
    </w:p>
    <w:p>
      <w:pPr>
        <w:pStyle w:val="Heading1"/>
        <w:pBdr>
          <w:bottom w:val="single" w:color="C7BCA1" w:sz="8" w:space="6"/>
        </w:pBdr>
        <w:spacing w:after="200" w:before="480"/>
      </w:pPr>
      <w:r>
        <w:rPr>
          <w:rFonts w:ascii="Calibri" w:cs="Calibri" w:eastAsia="Calibri" w:hAnsi="Calibri"/>
          <w:b/>
          <w:bCs/>
          <w:color w:val="1F2937"/>
          <w:sz w:val="32"/>
          <w:szCs w:val="32"/>
        </w:rPr>
        <w:t xml:space="preserve">Chapter III — Allocation discipline</w:t>
      </w:r>
    </w:p>
    <w:p>
      <w:pPr>
        <w:pStyle w:val="Heading2"/>
        <w:spacing w:after="80" w:before="320"/>
      </w:pPr>
      <w:r>
        <w:rPr>
          <w:rFonts w:ascii="Calibri" w:cs="Calibri" w:eastAsia="Calibri" w:hAnsi="Calibri"/>
          <w:b/>
          <w:bCs/>
          <w:color w:val="B91C1C"/>
          <w:sz w:val="26"/>
          <w:szCs w:val="26"/>
        </w:rPr>
        <w:t xml:space="preserve">Article 12.  </w:t>
      </w:r>
      <w:r>
        <w:rPr>
          <w:rFonts w:ascii="Calibri" w:cs="Calibri" w:eastAsia="Calibri" w:hAnsi="Calibri"/>
          <w:b/>
          <w:bCs/>
          <w:color w:val="0F172A"/>
          <w:sz w:val="26"/>
          <w:szCs w:val="26"/>
        </w:rPr>
        <w:t xml:space="preserve">The IRR queue is gated on non-module cash claims.</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Before the IRR-priority queue is allowed to consume cash for module CapEx, the allocator reserves the year's non-module cash claims: total OpEx, corporate CapEx, spectrum CapEx, taxes, and any strategic carve-out. Available cash for the queue is MAX(0, Cash BoY − non_module_claims).</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Without the gate, the queue spends cash that the same year's corporate cost stack needs. The model implicitly assumes the group finances operating expenses from debt or negative cash. The bug compounds: year 1 allocation consumes year 2's OpEx, the model produces optimistic CapEx and impossible cash balances, and the resulting IRR is a fantasy.</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The gated-available-cash cell is named and conservation-checked. Any future spec that rewrites the allocator's cash flow must preserve the gate or document why it is removing it. Iterative-calc handles the small circularity between CapEx → Revenue → EBITDA → Taxes → claims.</w:t>
      </w:r>
    </w:p>
    <w:p>
      <w:pPr>
        <w:pStyle w:val="Heading2"/>
        <w:spacing w:after="80" w:before="320"/>
      </w:pPr>
      <w:r>
        <w:rPr>
          <w:rFonts w:ascii="Calibri" w:cs="Calibri" w:eastAsia="Calibri" w:hAnsi="Calibri"/>
          <w:b/>
          <w:bCs/>
          <w:color w:val="B91C1C"/>
          <w:sz w:val="26"/>
          <w:szCs w:val="26"/>
        </w:rPr>
        <w:t xml:space="preserve">Article 13.  </w:t>
      </w:r>
      <w:r>
        <w:rPr>
          <w:rFonts w:ascii="Calibri" w:cs="Calibri" w:eastAsia="Calibri" w:hAnsi="Calibri"/>
          <w:b/>
          <w:bCs/>
          <w:color w:val="0F172A"/>
          <w:sz w:val="26"/>
          <w:szCs w:val="26"/>
        </w:rPr>
        <w:t xml:space="preserve">Per-unit marginal IRR from physics. No fleet seeding.</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Module IRR is computed on a per-unit (per-sat, per-launch, per-MW) CF stream derived from physics inputs: per-unit CapEx, per-unit revenue, per-unit OpEx, economic life. The IRR engine never depends on current fleet count. Hardcoding a starting fleet to bootstrap allocation is forbidden.</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Fleet-level IRR with IF(fleet=0, -1, ...) creates a chicken-and-egg trap: zero fleet means zero CF means undefined IRR means zero allocation means zero fleet forever. The temptation to seed the starting fleet from Assumptions patches the symptom and corrupts the architecture. Per-unit marginal IRR is bootstrap-proof and physically defensible.</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CF stream is [−CapEx_per_unit, +FCF_yr1, ..., +FCF_yrN]. Spot IRR = current year. Forward IRR = shifted N years. Blended IRR = weighted average. Preserve the fleet-level IRR as a memo row for retrospective measurement, but the Allocator OUT IRR is per-unit.</w:t>
      </w:r>
    </w:p>
    <w:p>
      <w:pPr>
        <w:pStyle w:val="Heading2"/>
        <w:spacing w:after="80" w:before="320"/>
      </w:pPr>
      <w:r>
        <w:rPr>
          <w:rFonts w:ascii="Calibri" w:cs="Calibri" w:eastAsia="Calibri" w:hAnsi="Calibri"/>
          <w:b/>
          <w:bCs/>
          <w:color w:val="B91C1C"/>
          <w:sz w:val="26"/>
          <w:szCs w:val="26"/>
        </w:rPr>
        <w:t xml:space="preserve">Article 14.  </w:t>
      </w:r>
      <w:r>
        <w:rPr>
          <w:rFonts w:ascii="Calibri" w:cs="Calibri" w:eastAsia="Calibri" w:hAnsi="Calibri"/>
          <w:b/>
          <w:bCs/>
          <w:color w:val="0F172A"/>
          <w:sz w:val="26"/>
          <w:szCs w:val="26"/>
        </w:rPr>
        <w:t xml:space="preserve">Endogenous build rates wherever capital decisions can drive them.</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If an allocator can in principle drive a build rate, the build rate is endogenous to the allocator. Manual year-row build schedules are temporary expedients only, marked as such, and replaced as soon as the allocator that should drive them is wired.</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Exogenous build rates pre-determine the allocator's output. The model's highest-IRR-use-of-marginal-capital claim collapses if the marginal capital was already spent on a hardcoded ramp. Endogeneity is what makes the model a model rather than a calculator.</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Keep a manual schedule and an allocator-driven schedule with a boolean switch in Assumptions. Default to allocator-driven once Layer 1 is live. The manual switch survives for scenario stress-testing.</w:t>
      </w:r>
    </w:p>
    <w:p>
      <w:pPr>
        <w:pStyle w:val="Heading2"/>
        <w:spacing w:after="80" w:before="320"/>
      </w:pPr>
      <w:r>
        <w:rPr>
          <w:rFonts w:ascii="Calibri" w:cs="Calibri" w:eastAsia="Calibri" w:hAnsi="Calibri"/>
          <w:b/>
          <w:bCs/>
          <w:color w:val="B91C1C"/>
          <w:sz w:val="26"/>
          <w:szCs w:val="26"/>
        </w:rPr>
        <w:t xml:space="preserve">Article 15.  </w:t>
      </w:r>
      <w:r>
        <w:rPr>
          <w:rFonts w:ascii="Calibri" w:cs="Calibri" w:eastAsia="Calibri" w:hAnsi="Calibri"/>
          <w:b/>
          <w:bCs/>
          <w:color w:val="0F172A"/>
          <w:sz w:val="26"/>
          <w:szCs w:val="26"/>
        </w:rPr>
        <w:t xml:space="preserve">Conservation blocks live on Group P&amp;L from sprint one.</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Group P&amp;L hosts conservation blocks for Revenue, EBITDA, CapEx, FCF, D&amp;A, EBIT, and every inter-module transfer pair. The blocks are present from the first sprint that touches Group P&amp;L. Each block has an explicit zero check.</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Conservation blocks added at the end of a build catch nothing because every prior spec was checked in isolation. Added from sprint one, they catch the bug in the sprint that introduced it. The cost is a single row; the alternative is a deep audit.</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Each conservation row is Σ module_X − group_X. The expected value is zero. A nonzero number is a hard stop for the sprint sign-off.</w:t>
      </w:r>
    </w:p>
    <w:p>
      <w:pPr>
        <w:pStyle w:val="Heading1"/>
        <w:pBdr>
          <w:bottom w:val="single" w:color="C7BCA1" w:sz="8" w:space="6"/>
        </w:pBdr>
        <w:spacing w:after="200" w:before="480"/>
      </w:pPr>
      <w:r>
        <w:rPr>
          <w:rFonts w:ascii="Calibri" w:cs="Calibri" w:eastAsia="Calibri" w:hAnsi="Calibri"/>
          <w:b/>
          <w:bCs/>
          <w:color w:val="1F2937"/>
          <w:sz w:val="32"/>
          <w:szCs w:val="32"/>
        </w:rPr>
        <w:t xml:space="preserve">Chapter IV — Uncertainty discipline</w:t>
      </w:r>
    </w:p>
    <w:p>
      <w:pPr>
        <w:pStyle w:val="Heading2"/>
        <w:spacing w:after="80" w:before="320"/>
      </w:pPr>
      <w:r>
        <w:rPr>
          <w:rFonts w:ascii="Calibri" w:cs="Calibri" w:eastAsia="Calibri" w:hAnsi="Calibri"/>
          <w:b/>
          <w:bCs/>
          <w:color w:val="B91C1C"/>
          <w:sz w:val="26"/>
          <w:szCs w:val="26"/>
        </w:rPr>
        <w:t xml:space="preserve">Article 16.  </w:t>
      </w:r>
      <w:r>
        <w:rPr>
          <w:rFonts w:ascii="Calibri" w:cs="Calibri" w:eastAsia="Calibri" w:hAnsi="Calibri"/>
          <w:b/>
          <w:bCs/>
          <w:color w:val="0F172A"/>
          <w:sz w:val="26"/>
          <w:szCs w:val="26"/>
        </w:rPr>
        <w:t xml:space="preserve">Anything arbitrary becomes a Monte Carlo input.</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Every numeric input that was made up rather than recorded — stubs, blend weights, growth rates, multipliers, overhead percentages, initial seeds, useful lives — gets a Monte Carlo range when the MC layer is wired. Default distribution: triangle, mode = stub.</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Arbitrary single values mask uncertainty. They produce a model that looks precise and is precisely wrong. MC ranges surface the uncertainty without forcing a right answer.</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Each sprint spec maintains a running MC input register listing the stub and the proposed range (Min / Downside / Mode / Upside / Max). A grounded input (disclosed number, regulatory cap, physical constant) is flagged as fixed; default is arbitrary.</w:t>
      </w:r>
    </w:p>
    <w:p>
      <w:pPr>
        <w:pStyle w:val="Heading2"/>
        <w:spacing w:after="80" w:before="320"/>
      </w:pPr>
      <w:r>
        <w:rPr>
          <w:rFonts w:ascii="Calibri" w:cs="Calibri" w:eastAsia="Calibri" w:hAnsi="Calibri"/>
          <w:b/>
          <w:bCs/>
          <w:color w:val="B91C1C"/>
          <w:sz w:val="26"/>
          <w:szCs w:val="26"/>
        </w:rPr>
        <w:t xml:space="preserve">Article 17.  </w:t>
      </w:r>
      <w:r>
        <w:rPr>
          <w:rFonts w:ascii="Calibri" w:cs="Calibri" w:eastAsia="Calibri" w:hAnsi="Calibri"/>
          <w:b/>
          <w:bCs/>
          <w:color w:val="0F172A"/>
          <w:sz w:val="26"/>
          <w:szCs w:val="26"/>
        </w:rPr>
        <w:t xml:space="preserve">Build point-estimate. Layer MC after. Cut scenarios last.</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The build phase uses fixed point-estimate assumptions. Monte Carlo is layered at the end across the input register. Scenarios are thesis-conditional cuts of the resulting distribution — they come after MC, not before.</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Three point-estimate scenarios pre-MC are three guesses dressed as bear/base/bull. After MC, scenarios become defensible cuts of a real distribution (the world where $/kg lands above X and ARPU decays at Y). They become honest.</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No scenarios spec until MC is built. When MC lands, the scenarios spec is a thin layer: define thesis cuts, point the Dashboard at them via INDEX/CHOOSE, build the switcher.</w:t>
      </w:r>
    </w:p>
    <w:p>
      <w:pPr>
        <w:pStyle w:val="Heading2"/>
        <w:spacing w:after="80" w:before="320"/>
      </w:pPr>
      <w:r>
        <w:rPr>
          <w:rFonts w:ascii="Calibri" w:cs="Calibri" w:eastAsia="Calibri" w:hAnsi="Calibri"/>
          <w:b/>
          <w:bCs/>
          <w:color w:val="B91C1C"/>
          <w:sz w:val="26"/>
          <w:szCs w:val="26"/>
        </w:rPr>
        <w:t xml:space="preserve">Article 18.  </w:t>
      </w:r>
      <w:r>
        <w:rPr>
          <w:rFonts w:ascii="Calibri" w:cs="Calibri" w:eastAsia="Calibri" w:hAnsi="Calibri"/>
          <w:b/>
          <w:bCs/>
          <w:color w:val="0F172A"/>
          <w:sz w:val="26"/>
          <w:szCs w:val="26"/>
        </w:rPr>
        <w:t xml:space="preserve">Anchor Year 0 to recorded historicals. Reject inputs that contradict them.</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Year 0 inputs (the model's starting year) are anchored to the most recent recorded historical figures. Any V-prior stub that diverges from a recorded number is replaced unless there is a documented reason to override.</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A model whose starting year is wrong is wrong forever — every subsequent year propagates the error through CAGRs and learning curves. The Q4'25 corrections (starting cash $20B → $5B, F9 fleet 24 → 28, customer launch price $67M → $111M) materially changed downstream outputs. The recorded numbers existed all along.</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Build a hard Year-0 corrections table during the architecture spec. Anchor every Year 0 input. Subsequent years derive from these anchors via Wright's Law, decay rates, or growth rates — never from a free-standing year-row.</w:t>
      </w:r>
    </w:p>
    <w:p>
      <w:pPr>
        <w:pStyle w:val="Heading2"/>
        <w:spacing w:after="80" w:before="320"/>
      </w:pPr>
      <w:r>
        <w:rPr>
          <w:rFonts w:ascii="Calibri" w:cs="Calibri" w:eastAsia="Calibri" w:hAnsi="Calibri"/>
          <w:b/>
          <w:bCs/>
          <w:color w:val="B91C1C"/>
          <w:sz w:val="26"/>
          <w:szCs w:val="26"/>
        </w:rPr>
        <w:t xml:space="preserve">Article 19.  </w:t>
      </w:r>
      <w:r>
        <w:rPr>
          <w:rFonts w:ascii="Calibri" w:cs="Calibri" w:eastAsia="Calibri" w:hAnsi="Calibri"/>
          <w:b/>
          <w:bCs/>
          <w:color w:val="0F172A"/>
          <w:sz w:val="26"/>
          <w:szCs w:val="26"/>
        </w:rPr>
        <w:t xml:space="preserve">The Year 0 calibration target is binding.</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The model's Year 0 outputs must hit recorded historicals within a stated tolerance — typically ±5%. The tolerance is named in the architecture spec. Outputs outside tolerance block sprint sign-off until reconciled.</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Without a calibration target, the model is unfalsifiable. Without a tolerance, every disagreement with historicals becomes close enough. A binding tolerance is what distinguishes a model from a narrative with cells.</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Group Revenue, segment revenues, Group EBITDA, Group FCF, fleet counts, and unit cadence all have target values in the architecture spec. Calibration check is a named tab section, run after every sprint that touches an upstream input.</w:t>
      </w:r>
    </w:p>
    <w:p>
      <w:pPr>
        <w:pStyle w:val="Heading1"/>
        <w:pBdr>
          <w:bottom w:val="single" w:color="C7BCA1" w:sz="8" w:space="6"/>
        </w:pBdr>
        <w:spacing w:after="200" w:before="480"/>
      </w:pPr>
      <w:r>
        <w:rPr>
          <w:rFonts w:ascii="Calibri" w:cs="Calibri" w:eastAsia="Calibri" w:hAnsi="Calibri"/>
          <w:b/>
          <w:bCs/>
          <w:color w:val="1F2937"/>
          <w:sz w:val="32"/>
          <w:szCs w:val="32"/>
        </w:rPr>
        <w:t xml:space="preserve">Chapter V — Spec and execution discipline</w:t>
      </w:r>
    </w:p>
    <w:p>
      <w:pPr>
        <w:pStyle w:val="Heading2"/>
        <w:spacing w:after="80" w:before="320"/>
      </w:pPr>
      <w:r>
        <w:rPr>
          <w:rFonts w:ascii="Calibri" w:cs="Calibri" w:eastAsia="Calibri" w:hAnsi="Calibri"/>
          <w:b/>
          <w:bCs/>
          <w:color w:val="B91C1C"/>
          <w:sz w:val="26"/>
          <w:szCs w:val="26"/>
        </w:rPr>
        <w:t xml:space="preserve">Article 20.  </w:t>
      </w:r>
      <w:r>
        <w:rPr>
          <w:rFonts w:ascii="Calibri" w:cs="Calibri" w:eastAsia="Calibri" w:hAnsi="Calibri"/>
          <w:b/>
          <w:bCs/>
          <w:color w:val="0F172A"/>
          <w:sz w:val="26"/>
          <w:szCs w:val="26"/>
        </w:rPr>
        <w:t xml:space="preserve">Every spec opens with a Rule Compliance Preamble.</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Every sprint or refine spec opens with a checklist confirming compliance with the workbook's execution rules. Each box is ticked, including N/A boxes with a justification. Execution refuses to start without it.</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Rules that are not enforced are not rules. The preamble is the enforcement mechanism. It also forces the spec author to read the rules each time, which is when rules-doc amendments get noticed.</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Maintain the rules doc separately. The preamble is a copy-paste header on every spec. New failure modes that surface become new rules, dated, and added to both the rules doc and future preambles.</w:t>
      </w:r>
    </w:p>
    <w:p>
      <w:pPr>
        <w:pStyle w:val="Heading2"/>
        <w:spacing w:after="80" w:before="320"/>
      </w:pPr>
      <w:r>
        <w:rPr>
          <w:rFonts w:ascii="Calibri" w:cs="Calibri" w:eastAsia="Calibri" w:hAnsi="Calibri"/>
          <w:b/>
          <w:bCs/>
          <w:color w:val="B91C1C"/>
          <w:sz w:val="26"/>
          <w:szCs w:val="26"/>
        </w:rPr>
        <w:t xml:space="preserve">Article 21.  </w:t>
      </w:r>
      <w:r>
        <w:rPr>
          <w:rFonts w:ascii="Calibri" w:cs="Calibri" w:eastAsia="Calibri" w:hAnsi="Calibri"/>
          <w:b/>
          <w:bCs/>
          <w:color w:val="0F172A"/>
          <w:sz w:val="26"/>
          <w:szCs w:val="26"/>
        </w:rPr>
        <w:t xml:space="preserve">Inline formulas in the spec. No "see convention X" footnotes.</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Every formula the executor will type appears inline in the spec, with absolute and relative references resolved. Convention references ("apply the standard ramp pattern") are not allowed in place of the formula itself.</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Convention references force the executor to chase footnotes during execution, which is when mistakes happen. Inline formulas are reviewable, copy-pasteable, and audit-friendly.</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Write the formula as it will appear in the cell, with the actual anchor reference ($D$14), the actual offset reference (E$6), and the actual range. The executor types what the spec says.</w:t>
      </w:r>
    </w:p>
    <w:p>
      <w:pPr>
        <w:pStyle w:val="Heading2"/>
        <w:spacing w:after="80" w:before="320"/>
      </w:pPr>
      <w:r>
        <w:rPr>
          <w:rFonts w:ascii="Calibri" w:cs="Calibri" w:eastAsia="Calibri" w:hAnsi="Calibri"/>
          <w:b/>
          <w:bCs/>
          <w:color w:val="B91C1C"/>
          <w:sz w:val="26"/>
          <w:szCs w:val="26"/>
        </w:rPr>
        <w:t xml:space="preserve">Article 22.  </w:t>
      </w:r>
      <w:r>
        <w:rPr>
          <w:rFonts w:ascii="Calibri" w:cs="Calibri" w:eastAsia="Calibri" w:hAnsi="Calibri"/>
          <w:b/>
          <w:bCs/>
          <w:color w:val="0F172A"/>
          <w:sz w:val="26"/>
          <w:szCs w:val="26"/>
        </w:rPr>
        <w:t xml:space="preserve">Mandatory verification gate after every section.</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After every section of execution, the executor reads back the affected cells across Year 0, mid-horizon, and final year, plus the relevant conservation block. The spec lists the expected values or expected relationships. Execution does not proceed past a section until the gate clears.</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Compound bugs from un-verified sections are the single most expensive class of error. The gate catches them at the source, when the context is fresh and the fix is local.</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Each spec section ends with a Verification gate subsection listing the cells to read back and the values or invariants to confirm. Failure halts the spec; the executor flags it to the spec author.</w:t>
      </w:r>
    </w:p>
    <w:p>
      <w:pPr>
        <w:pStyle w:val="Heading2"/>
        <w:spacing w:after="80" w:before="320"/>
      </w:pPr>
      <w:r>
        <w:rPr>
          <w:rFonts w:ascii="Calibri" w:cs="Calibri" w:eastAsia="Calibri" w:hAnsi="Calibri"/>
          <w:b/>
          <w:bCs/>
          <w:color w:val="B91C1C"/>
          <w:sz w:val="26"/>
          <w:szCs w:val="26"/>
        </w:rPr>
        <w:t xml:space="preserve">Article 23.  </w:t>
      </w:r>
      <w:r>
        <w:rPr>
          <w:rFonts w:ascii="Calibri" w:cs="Calibri" w:eastAsia="Calibri" w:hAnsi="Calibri"/>
          <w:b/>
          <w:bCs/>
          <w:color w:val="0F172A"/>
          <w:sz w:val="26"/>
          <w:szCs w:val="26"/>
        </w:rPr>
        <w:t xml:space="preserve">Don't over-specify what the executor can decide.</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Sprint specs leave executor-judgment items abstract: file versioning, year-column-letter mapping, naming of helper rows, exact placement of new sections within a tab. Specs reference rows by label, year columns by year, and trust the executor on layout.</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Over-specification produces conflicts (the spec says column B, the workbook has column D), wastes lines on instructions the plugin will flag back as conflicts anyway, and prevents the executor from making reasonable layout decisions. The spec's job is logic; the executor's job is placement.</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Specs say year column for 2025, not column D. Specs say row labelled Total Revenue, not row 200. Specs do not include file-save instructions.</w:t>
      </w:r>
    </w:p>
    <w:p>
      <w:pPr>
        <w:pStyle w:val="Heading2"/>
        <w:spacing w:after="80" w:before="320"/>
      </w:pPr>
      <w:r>
        <w:rPr>
          <w:rFonts w:ascii="Calibri" w:cs="Calibri" w:eastAsia="Calibri" w:hAnsi="Calibri"/>
          <w:b/>
          <w:bCs/>
          <w:color w:val="B91C1C"/>
          <w:sz w:val="26"/>
          <w:szCs w:val="26"/>
        </w:rPr>
        <w:t xml:space="preserve">Article 24.  </w:t>
      </w:r>
      <w:r>
        <w:rPr>
          <w:rFonts w:ascii="Calibri" w:cs="Calibri" w:eastAsia="Calibri" w:hAnsi="Calibri"/>
          <w:b/>
          <w:bCs/>
          <w:color w:val="0F172A"/>
          <w:sz w:val="26"/>
          <w:szCs w:val="26"/>
        </w:rPr>
        <w:t xml:space="preserve">Atomic writes. One section at a time. Verify between.</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The executor writes one section, verifies it (Article 22), then moves to the next. The model never sits in a half-written state across sections. If a section's write fails verification, the executor rolls back or escalates before touching the next section.</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Multi-section writes that fail verification mid-way leave the model in an unknown state, and rolling back becomes a debugging session in its own right. Atomic writes bound the blast radius.</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Spec sections are sized to be atomically writable. If a section is too large, split it. Verification gates between sections are non-negotiable.</w:t>
      </w:r>
    </w:p>
    <w:p>
      <w:pPr>
        <w:pStyle w:val="Heading2"/>
        <w:spacing w:after="80" w:before="320"/>
      </w:pPr>
      <w:r>
        <w:rPr>
          <w:rFonts w:ascii="Calibri" w:cs="Calibri" w:eastAsia="Calibri" w:hAnsi="Calibri"/>
          <w:b/>
          <w:bCs/>
          <w:color w:val="B91C1C"/>
          <w:sz w:val="26"/>
          <w:szCs w:val="26"/>
        </w:rPr>
        <w:t xml:space="preserve">Article 25.  </w:t>
      </w:r>
      <w:r>
        <w:rPr>
          <w:rFonts w:ascii="Calibri" w:cs="Calibri" w:eastAsia="Calibri" w:hAnsi="Calibri"/>
          <w:b/>
          <w:bCs/>
          <w:color w:val="0F172A"/>
          <w:sz w:val="26"/>
          <w:szCs w:val="26"/>
        </w:rPr>
        <w:t xml:space="preserve">Grandfather working formulas. Convert on touch.</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New conventions (a new anchor-and-offset pattern, a new label-based reference style, a new conservation block) do not trigger automatic rewrites of existing working formulas. The new convention applies to new code and to any row touched by a new spec; legacy formulas are converted as they are touched, not en masse.</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Mass rewrites to apply a new convention create more bugs than they fix. The grandfather clause keeps convention progress moving forward without destabilising the working parts of the model.</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When a sprint touches a row, that row converts to the current convention. When a sprint does not touch a row, the row stays as it was. The convention progresses naturally without forcing a convention sprint.</w:t>
      </w:r>
    </w:p>
    <w:p>
      <w:pPr>
        <w:pStyle w:val="Heading2"/>
        <w:spacing w:after="80" w:before="320"/>
      </w:pPr>
      <w:r>
        <w:rPr>
          <w:rFonts w:ascii="Calibri" w:cs="Calibri" w:eastAsia="Calibri" w:hAnsi="Calibri"/>
          <w:b/>
          <w:bCs/>
          <w:color w:val="B91C1C"/>
          <w:sz w:val="26"/>
          <w:szCs w:val="26"/>
        </w:rPr>
        <w:t xml:space="preserve">Article 26.  </w:t>
      </w:r>
      <w:r>
        <w:rPr>
          <w:rFonts w:ascii="Calibri" w:cs="Calibri" w:eastAsia="Calibri" w:hAnsi="Calibri"/>
          <w:b/>
          <w:bCs/>
          <w:color w:val="0F172A"/>
          <w:sz w:val="26"/>
          <w:szCs w:val="26"/>
        </w:rPr>
        <w:t xml:space="preserve">When a new failure mode surfaces, add a rule. Date it. Amend the rules doc.</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Every previously-unseen failure mode that survives more than one spec becomes a new rule in the rules doc, dated. The next spec's preamble includes the new rule.</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Rules are a record of what went wrong. The rules doc is the institutional memory of the build. Adding a rule when a new failure surfaces compounds learning; not adding it guarantees the failure repeats.</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New rules are appended, not inserted, and dated. The rules doc grows monotonically. Periodic consolidation passes merge duplicates and prune superseded rules — but only as a deliberate pass, not as a side effect of an unrelated spec.</w:t>
      </w:r>
    </w:p>
    <w:p>
      <w:pPr>
        <w:pStyle w:val="Heading1"/>
        <w:pBdr>
          <w:bottom w:val="single" w:color="C7BCA1" w:sz="8" w:space="6"/>
        </w:pBdr>
        <w:spacing w:after="200" w:before="480"/>
      </w:pPr>
      <w:r>
        <w:rPr>
          <w:rFonts w:ascii="Calibri" w:cs="Calibri" w:eastAsia="Calibri" w:hAnsi="Calibri"/>
          <w:b/>
          <w:bCs/>
          <w:color w:val="1F2937"/>
          <w:sz w:val="32"/>
          <w:szCs w:val="32"/>
        </w:rPr>
        <w:t xml:space="preserve">Chapter VI — Knowing when to stop refining</w:t>
      </w:r>
    </w:p>
    <w:p>
      <w:pPr>
        <w:pStyle w:val="Heading2"/>
        <w:spacing w:after="80" w:before="320"/>
      </w:pPr>
      <w:r>
        <w:rPr>
          <w:rFonts w:ascii="Calibri" w:cs="Calibri" w:eastAsia="Calibri" w:hAnsi="Calibri"/>
          <w:b/>
          <w:bCs/>
          <w:color w:val="B91C1C"/>
          <w:sz w:val="26"/>
          <w:szCs w:val="26"/>
        </w:rPr>
        <w:t xml:space="preserve">Article 27.  </w:t>
      </w:r>
      <w:r>
        <w:rPr>
          <w:rFonts w:ascii="Calibri" w:cs="Calibri" w:eastAsia="Calibri" w:hAnsi="Calibri"/>
          <w:b/>
          <w:bCs/>
          <w:color w:val="0F172A"/>
          <w:sz w:val="26"/>
          <w:szCs w:val="26"/>
        </w:rPr>
        <w:t xml:space="preserve">If retrofitting clean architecture costs more than rebuilding, rebuild.</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When a clean architectural change requires touching half the model's tabs, accept the rebuild. Refining around accumulated structural debt produces a worse model than starting over with the right architecture day one.</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The V30.5 → rebuild decision was made after thirty refine specs had still not fully landed vending-machine framing, per-sat IRR, queue gates, and the allocator circle. Each retrofit cost more than the last. The rebuild was faster, despite the cost, because the architecture was right from sprint zero.</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Track architectural debt explicitly. Three or more cross-cutting retrofits in queue is the signal to consider a rebuild. The decision is the firm's, not the executor's, but the executor surfaces the signal.</w:t>
      </w:r>
    </w:p>
    <w:p>
      <w:pPr>
        <w:pStyle w:val="Heading2"/>
        <w:spacing w:after="80" w:before="320"/>
      </w:pPr>
      <w:r>
        <w:rPr>
          <w:rFonts w:ascii="Calibri" w:cs="Calibri" w:eastAsia="Calibri" w:hAnsi="Calibri"/>
          <w:b/>
          <w:bCs/>
          <w:color w:val="B91C1C"/>
          <w:sz w:val="26"/>
          <w:szCs w:val="26"/>
        </w:rPr>
        <w:t xml:space="preserve">Article 28.  </w:t>
      </w:r>
      <w:r>
        <w:rPr>
          <w:rFonts w:ascii="Calibri" w:cs="Calibri" w:eastAsia="Calibri" w:hAnsi="Calibri"/>
          <w:b/>
          <w:bCs/>
          <w:color w:val="0F172A"/>
          <w:sz w:val="26"/>
          <w:szCs w:val="26"/>
        </w:rPr>
        <w:t xml:space="preserve">Document open items as deferred. Do not surface them as blockers in unrelated sprints.</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Known calibration gaps, methodology shortcuts, and partial implementations are documented in an Open Items doc with a clear deferral target (typically the audit sprint or a named future spec). They do not get raised as blockers during sprints that do not depend on them.</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Surfacing every open item in every sprint review produces noise that drowns out the sprint's actual deliverable. Deferring with a clear target keeps the build moving while protecting against the items being forgotten.</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Maintain a single Open Items doc. Items have a deferral target and a one-line rationale. The audit sprint pulls the doc and addresses each item in order.</w:t>
      </w:r>
    </w:p>
    <w:p>
      <w:pPr>
        <w:pStyle w:val="Heading2"/>
        <w:spacing w:after="80" w:before="320"/>
      </w:pPr>
      <w:r>
        <w:rPr>
          <w:rFonts w:ascii="Calibri" w:cs="Calibri" w:eastAsia="Calibri" w:hAnsi="Calibri"/>
          <w:b/>
          <w:bCs/>
          <w:color w:val="B91C1C"/>
          <w:sz w:val="26"/>
          <w:szCs w:val="26"/>
        </w:rPr>
        <w:t xml:space="preserve">Article 29.  </w:t>
      </w:r>
      <w:r>
        <w:rPr>
          <w:rFonts w:ascii="Calibri" w:cs="Calibri" w:eastAsia="Calibri" w:hAnsi="Calibri"/>
          <w:b/>
          <w:bCs/>
          <w:color w:val="0F172A"/>
          <w:sz w:val="26"/>
          <w:szCs w:val="26"/>
        </w:rPr>
        <w:t xml:space="preserve">The model is a living document. The constitution is not.</w:t>
      </w:r>
    </w:p>
    <w:p>
      <w:pPr>
        <w:spacing w:after="120" w:before="80" w:line="300"/>
        <w:jc w:val="left"/>
      </w:pPr>
      <w:r>
        <w:rPr>
          <w:rFonts w:ascii="Calibri" w:cs="Calibri" w:eastAsia="Calibri" w:hAnsi="Calibri"/>
          <w:b/>
          <w:bCs/>
          <w:color w:val="B91C1C"/>
          <w:sz w:val="22"/>
          <w:szCs w:val="22"/>
        </w:rPr>
        <w:t xml:space="preserve">Rule.  </w:t>
      </w:r>
      <w:r>
        <w:rPr>
          <w:rFonts w:ascii="Calibri" w:cs="Calibri" w:eastAsia="Calibri" w:hAnsi="Calibri"/>
          <w:i w:val="false"/>
          <w:iCs w:val="false"/>
          <w:color w:val="1F2937"/>
          <w:sz w:val="22"/>
          <w:szCs w:val="22"/>
        </w:rPr>
        <w:t xml:space="preserve">The model itself changes constantly. The constitution does not — it amends only when a previously-unseen failure mode demonstrates that an existing article is insufficient. Amendments are dated, accompanied by the incident, and added to the rules doc per Article 26.</w:t>
      </w:r>
    </w:p>
    <w:p>
      <w:pPr>
        <w:spacing w:after="120" w:before="80" w:line="300"/>
        <w:jc w:val="left"/>
      </w:pPr>
      <w:r>
        <w:rPr>
          <w:rFonts w:ascii="Calibri" w:cs="Calibri" w:eastAsia="Calibri" w:hAnsi="Calibri"/>
          <w:b/>
          <w:bCs/>
          <w:color w:val="B91C1C"/>
          <w:sz w:val="22"/>
          <w:szCs w:val="22"/>
        </w:rPr>
        <w:t xml:space="preserve">Why.  </w:t>
      </w:r>
      <w:r>
        <w:rPr>
          <w:rFonts w:ascii="Calibri" w:cs="Calibri" w:eastAsia="Calibri" w:hAnsi="Calibri"/>
          <w:i w:val="false"/>
          <w:iCs w:val="false"/>
          <w:color w:val="1F2937"/>
          <w:sz w:val="22"/>
          <w:szCs w:val="22"/>
        </w:rPr>
        <w:t xml:space="preserve">A constitution that changes every sprint is not a constitution. The discipline of leaving the document stable forces the build to either comply with it or amend it deliberately, and that deliberateness is the source of the rules' authority.</w:t>
      </w:r>
    </w:p>
    <w:p>
      <w:pPr>
        <w:spacing w:after="120" w:before="80" w:line="300"/>
        <w:jc w:val="left"/>
      </w:pPr>
      <w:r>
        <w:rPr>
          <w:rFonts w:ascii="Calibri" w:cs="Calibri" w:eastAsia="Calibri" w:hAnsi="Calibri"/>
          <w:b/>
          <w:bCs/>
          <w:color w:val="B91C1C"/>
          <w:sz w:val="22"/>
          <w:szCs w:val="22"/>
        </w:rPr>
        <w:t xml:space="preserve">How to apply.  </w:t>
      </w:r>
      <w:r>
        <w:rPr>
          <w:rFonts w:ascii="Calibri" w:cs="Calibri" w:eastAsia="Calibri" w:hAnsi="Calibri"/>
          <w:i w:val="false"/>
          <w:iCs w:val="false"/>
          <w:color w:val="1F2937"/>
          <w:sz w:val="22"/>
          <w:szCs w:val="22"/>
        </w:rPr>
        <w:t xml:space="preserve">The constitution lives in the project workspace as a versioned document. Amendments require a stated incident, a stated rule that was insufficient, and a stated revision. No drive-by edits.</w:t>
      </w:r>
    </w:p>
    <w:p>
      <w:pPr>
        <w:pStyle w:val="Heading1"/>
        <w:pBdr>
          <w:bottom w:val="single" w:color="C7BCA1" w:sz="8" w:space="6"/>
        </w:pBdr>
        <w:spacing w:after="200" w:before="480"/>
      </w:pPr>
      <w:r>
        <w:rPr>
          <w:rFonts w:ascii="Calibri" w:cs="Calibri" w:eastAsia="Calibri" w:hAnsi="Calibri"/>
          <w:b/>
          <w:bCs/>
          <w:color w:val="1F2937"/>
          <w:sz w:val="32"/>
          <w:szCs w:val="32"/>
        </w:rPr>
        <w:t xml:space="preserve">Closing</w:t>
      </w:r>
    </w:p>
    <w:p>
      <w:pPr>
        <w:spacing w:after="120" w:before="80" w:line="300"/>
        <w:jc w:val="left"/>
      </w:pPr>
      <w:r>
        <w:rPr>
          <w:rFonts w:ascii="Calibri" w:cs="Calibri" w:eastAsia="Calibri" w:hAnsi="Calibri"/>
          <w:b w:val="false"/>
          <w:bCs w:val="false"/>
          <w:i w:val="false"/>
          <w:iCs w:val="false"/>
          <w:color w:val="1F2937"/>
          <w:sz w:val="22"/>
          <w:szCs w:val="22"/>
        </w:rPr>
        <w:t xml:space="preserve">A model is built once. It is verified continuously. The articles above are not optimisations — they are the conditions under which a Mach33 model is allowed to leave the workspace.</w:t>
      </w:r>
    </w:p>
    <w:p>
      <w:pPr>
        <w:spacing w:after="120" w:before="80" w:line="300"/>
        <w:jc w:val="left"/>
      </w:pPr>
      <w:r>
        <w:rPr>
          <w:rFonts w:ascii="Calibri" w:cs="Calibri" w:eastAsia="Calibri" w:hAnsi="Calibri"/>
          <w:b w:val="false"/>
          <w:bCs w:val="false"/>
          <w:i w:val="false"/>
          <w:iCs w:val="false"/>
          <w:color w:val="1F2937"/>
          <w:sz w:val="22"/>
          <w:szCs w:val="22"/>
        </w:rPr>
        <w:t xml:space="preserve">If a future build violates one of these articles for a documented reason, the reason becomes part of the build's record. If a future build violates one without a documented reason, the build is wrong.</w:t>
      </w:r>
    </w:p>
    <w:p>
      <w:pPr>
        <w:spacing w:after="240" w:before="240"/>
        <w:jc w:val="center"/>
      </w:pPr>
      <w:r>
        <w:rPr>
          <w:rFonts w:ascii="Calibri" w:cs="Calibri" w:eastAsia="Calibri" w:hAnsi="Calibri"/>
          <w:color w:val="5B5563"/>
          <w:sz w:val="22"/>
          <w:szCs w:val="22"/>
        </w:rPr>
        <w:t xml:space="preserve">•  •  •</w:t>
      </w:r>
    </w:p>
    <w:p>
      <w:pPr>
        <w:spacing w:after="120" w:before="80" w:line="300"/>
        <w:jc w:val="center"/>
      </w:pPr>
      <w:r>
        <w:rPr>
          <w:rFonts w:ascii="Calibri" w:cs="Calibri" w:eastAsia="Calibri" w:hAnsi="Calibri"/>
          <w:b w:val="false"/>
          <w:bCs w:val="false"/>
          <w:i/>
          <w:iCs/>
          <w:color w:val="5B5563"/>
          <w:sz w:val="22"/>
          <w:szCs w:val="22"/>
        </w:rPr>
        <w:t xml:space="preserve">v1.0 — drafted from the SpaceX V0–V30.5 build and the rebuild that followed.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80" w:before="320"/>
      <w:outlineLvl w:val="1"/>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Mach33 Modelling Constitution</dc:title>
  <dc:creator>Mach33</dc:creator>
  <cp:lastModifiedBy>Un-named</cp:lastModifiedBy>
  <cp:revision>1</cp:revision>
  <dcterms:created xsi:type="dcterms:W3CDTF">2026-05-19T18:23:54.633Z</dcterms:created>
  <dcterms:modified xsi:type="dcterms:W3CDTF">2026-05-19T18:23:54.633Z</dcterms:modified>
</cp:coreProperties>
</file>

<file path=docProps/custom.xml><?xml version="1.0" encoding="utf-8"?>
<Properties xmlns="http://schemas.openxmlformats.org/officeDocument/2006/custom-properties" xmlns:vt="http://schemas.openxmlformats.org/officeDocument/2006/docPropsVTypes"/>
</file>