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2937"/>
          <w:sz w:val="44"/>
          <w:szCs w:val="44"/>
        </w:rPr>
        <w:t xml:space="preserve">SpaceX S-1 vs Mach33 Model</w:t>
      </w:r>
    </w:p>
    <w:p>
      <w:pPr>
        <w:spacing w:after="360"/>
        <w:jc w:val="center"/>
      </w:pPr>
      <w:r>
        <w:rPr>
          <w:rFonts w:ascii="Arial" w:cs="Arial" w:eastAsia="Arial" w:hAnsi="Arial"/>
          <w:color w:val="475569"/>
          <w:sz w:val="30"/>
          <w:szCs w:val="30"/>
        </w:rPr>
        <w:t xml:space="preserve">Variance Analysis — Webinar Talking Notes</w:t>
      </w:r>
    </w:p>
    <w:p>
      <w:pPr>
        <w:spacing w:after="120"/>
        <w:jc w:val="center"/>
      </w:pPr>
      <w:r>
        <w:rPr>
          <w:rFonts w:ascii="Arial" w:cs="Arial" w:eastAsia="Arial" w:hAnsi="Arial"/>
          <w:i/>
          <w:iCs/>
          <w:color w:val="64748B"/>
          <w:sz w:val="22"/>
          <w:szCs w:val="22"/>
        </w:rPr>
        <w:t xml:space="preserve">Prepared 21 May 2026 — for internal Mach33 use</w:t>
      </w:r>
    </w:p>
    <w:p>
      <w:pPr>
        <w:spacing w:after="120"/>
        <w:jc w:val="center"/>
      </w:pPr>
      <w:r>
        <w:rPr>
          <w:rFonts w:ascii="Arial" w:cs="Arial" w:eastAsia="Arial" w:hAnsi="Arial"/>
          <w:i/>
          <w:iCs/>
          <w:color w:val="64748B"/>
          <w:sz w:val="22"/>
          <w:szCs w:val="22"/>
        </w:rPr>
        <w:t xml:space="preserve">S-1 filed by Space Exploration Technologies Corp. on 20 May 2026 (Form S-1, SEC EDGAR)</w:t>
      </w:r>
    </w:p>
    <w:p>
      <w:r>
        <w:br w:type="page"/>
      </w:r>
    </w:p>
    <w:p>
      <w:pPr>
        <w:pStyle w:val="Heading1"/>
        <w:spacing w:after="180" w:before="360"/>
      </w:pPr>
      <w:r>
        <w:rPr>
          <w:rFonts w:ascii="Arial" w:cs="Arial" w:eastAsia="Arial" w:hAnsi="Arial"/>
          <w:b/>
          <w:bCs/>
          <w:color w:val="1F2937"/>
          <w:sz w:val="32"/>
          <w:szCs w:val="32"/>
        </w:rPr>
        <w:t xml:space="preserve">Executive summary</w:t>
      </w:r>
    </w:p>
    <w:p>
      <w:pPr>
        <w:spacing w:after="120"/>
      </w:pPr>
      <w:r>
        <w:rPr>
          <w:rFonts w:ascii="Arial" w:cs="Arial" w:eastAsia="Arial" w:hAnsi="Arial"/>
          <w:sz w:val="22"/>
          <w:szCs w:val="22"/>
        </w:rPr>
        <w:t xml:space="preserve">The S-1 dropped overnight. We ran every material assumption in the rebuilt model against it. The headline: the model is broadly in the right zip code on revenue, but the unit economics tell a different story than we'd been carrying. Subscribers are roughly 28% higher than we modelled; ARPU is roughly 23% lower. Those two cancel out at the revenue line, which is why our top-line came in within 5% of S-1 actual, but the shape of the Starlink business is different from what we'd been describing. That's the most important thing to lead with in the webinar.</w:t>
      </w:r>
    </w:p>
    <w:p>
      <w:pPr>
        <w:spacing w:after="120"/>
      </w:pPr>
      <w:r>
        <w:rPr>
          <w:rFonts w:ascii="Arial" w:cs="Arial" w:eastAsia="Arial" w:hAnsi="Arial"/>
          <w:sz w:val="22"/>
          <w:szCs w:val="22"/>
        </w:rPr>
        <w:t xml:space="preserve">Three other items worth knowing before you take questions:</w:t>
      </w:r>
    </w:p>
    <w:p>
      <w:pPr>
        <w:pStyle w:val="ListParagraph"/>
        <w:numPr>
          <w:ilvl w:val="0"/>
          <w:numId w:val="2"/>
        </w:numPr>
        <w:spacing w:after="80"/>
      </w:pPr>
      <w:r>
        <w:rPr>
          <w:rFonts w:ascii="Arial" w:cs="Arial" w:eastAsia="Arial" w:hAnsi="Arial"/>
          <w:b/>
          <w:bCs/>
          <w:sz w:val="22"/>
          <w:szCs w:val="22"/>
        </w:rPr>
        <w:t xml:space="preserve">First — </w:t>
      </w:r>
      <w:r>
        <w:rPr>
          <w:rFonts w:ascii="Arial" w:cs="Arial" w:eastAsia="Arial" w:hAnsi="Arial"/>
          <w:sz w:val="22"/>
          <w:szCs w:val="22"/>
        </w:rPr>
        <w:t xml:space="preserve">SpaceX has retroactively consolidated xAI and X into all reporting periods using common-control accounting. That means the $18,674M consolidated 2025 revenue figure floating around media coverage is not apples-to-apples with our standalone-SpaceX model. The Space + Connectivity number — $15,473M — is the right comparison.</w:t>
      </w:r>
    </w:p>
    <w:p>
      <w:pPr>
        <w:pStyle w:val="ListParagraph"/>
        <w:numPr>
          <w:ilvl w:val="0"/>
          <w:numId w:val="2"/>
        </w:numPr>
        <w:spacing w:after="80"/>
      </w:pPr>
      <w:r>
        <w:rPr>
          <w:rFonts w:ascii="Arial" w:cs="Arial" w:eastAsia="Arial" w:hAnsi="Arial"/>
          <w:b/>
          <w:bCs/>
          <w:sz w:val="22"/>
          <w:szCs w:val="22"/>
        </w:rPr>
        <w:t xml:space="preserve">Second — </w:t>
      </w:r>
      <w:r>
        <w:rPr>
          <w:rFonts w:ascii="Arial" w:cs="Arial" w:eastAsia="Arial" w:hAnsi="Arial"/>
          <w:sz w:val="22"/>
          <w:szCs w:val="22"/>
        </w:rPr>
        <w:t xml:space="preserve">SpaceX has just announced the $19.6B EchoStar spectrum acquisition (65 MHz US plus global MSS), closing November 2027. This is not in our model yet and is a material Mobile/DTC catalyst we'll need to layer in.</w:t>
      </w:r>
    </w:p>
    <w:p>
      <w:pPr>
        <w:pStyle w:val="ListParagraph"/>
        <w:numPr>
          <w:ilvl w:val="0"/>
          <w:numId w:val="2"/>
        </w:numPr>
        <w:spacing w:after="80"/>
      </w:pPr>
      <w:r>
        <w:rPr>
          <w:rFonts w:ascii="Arial" w:cs="Arial" w:eastAsia="Arial" w:hAnsi="Arial"/>
          <w:b/>
          <w:bCs/>
          <w:sz w:val="22"/>
          <w:szCs w:val="22"/>
        </w:rPr>
        <w:t xml:space="preserve">Third — </w:t>
      </w:r>
      <w:r>
        <w:rPr>
          <w:rFonts w:ascii="Arial" w:cs="Arial" w:eastAsia="Arial" w:hAnsi="Arial"/>
          <w:sz w:val="22"/>
          <w:szCs w:val="22"/>
        </w:rPr>
        <w:t xml:space="preserve">Starship payload delivery to orbit is now firmly guided to 2H 2026, V3 satellites deploy on that vehicle, and orbital AI compute deployment is anchored at 'as early as 2028.' Our forward timing assumptions line up.</w:t>
      </w:r>
    </w:p>
    <w:p>
      <w:pPr>
        <w:pStyle w:val="Heading2"/>
        <w:spacing w:after="120" w:before="240"/>
      </w:pPr>
      <w:r>
        <w:rPr>
          <w:rFonts w:ascii="Arial" w:cs="Arial" w:eastAsia="Arial" w:hAnsi="Arial"/>
          <w:b/>
          <w:bCs/>
          <w:color w:val="1F2937"/>
          <w:sz w:val="26"/>
          <w:szCs w:val="26"/>
        </w:rPr>
        <w:t xml:space="preserve">Three sentences if someone stops you in the hallway</w:t>
      </w:r>
    </w:p>
    <w:p>
      <w:pPr>
        <w:spacing w:after="120"/>
      </w:pPr>
      <w:r>
        <w:rPr>
          <w:rFonts w:ascii="Arial" w:cs="Arial" w:eastAsia="Arial" w:hAnsi="Arial"/>
          <w:sz w:val="22"/>
          <w:szCs w:val="22"/>
        </w:rPr>
        <w:t xml:space="preserve">Our 2025 revenue estimate came in within 5% of the S-1 — the model held up. The biggest variance is in Starlink unit economics: subscribers grew faster than we modelled and ARPU is materially lower than we carried, and importantly, SpaceX is telling us ARPU will keep declining. Operating margins came in tighter than we modelled because Starship R&amp;D doubled to $3.0B and Starlink CapEx is running ahead of plan.</w:t>
      </w:r>
    </w:p>
    <w:p>
      <w:pPr>
        <w:pBdr>
          <w:bottom w:val="single" w:color="CBD5E1" w:sz="6" w:space="1"/>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1F2937"/>
          <w:sz w:val="26"/>
          <w:szCs w:val="26"/>
        </w:rPr>
        <w:t xml:space="preserve">Scorecard — what we got right, what we got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100"/>
        <w:gridCol w:w="2060"/>
      </w:tblGrid>
      <w:tr>
        <w:trPr>
          <w:tblHeader/>
        </w:trPr>
        <w:tc>
          <w:tcPr>
            <w:tcW w:type="dxa" w:w="32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15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Mach33</w:t>
            </w:r>
          </w:p>
        </w:tc>
        <w:tc>
          <w:tcPr>
            <w:tcW w:type="dxa" w:w="15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S-1 actual</w:t>
            </w:r>
          </w:p>
        </w:tc>
        <w:tc>
          <w:tcPr>
            <w:tcW w:type="dxa" w:w="11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off</w:t>
            </w:r>
          </w:p>
        </w:tc>
        <w:tc>
          <w:tcPr>
            <w:tcW w:type="dxa" w:w="206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Space + Connectivity revenue 2025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14,650</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15,473</w:t>
            </w:r>
          </w:p>
        </w:tc>
        <w:tc>
          <w:tcPr>
            <w:tcW w:type="dxa" w:w="110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−5.3%</w:t>
            </w:r>
          </w:p>
        </w:tc>
        <w:tc>
          <w:tcPr>
            <w:tcW w:type="dxa" w:w="206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Customer launch revenue 2025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4,290</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4,086</w:t>
            </w:r>
          </w:p>
        </w:tc>
        <w:tc>
          <w:tcPr>
            <w:tcW w:type="dxa" w:w="110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+5.0%</w:t>
            </w:r>
          </w:p>
        </w:tc>
        <w:tc>
          <w:tcPr>
            <w:tcW w:type="dxa" w:w="206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Falcon launches total</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171</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165</w:t>
            </w:r>
          </w:p>
        </w:tc>
        <w:tc>
          <w:tcPr>
            <w:tcW w:type="dxa" w:w="110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+3.6%</w:t>
            </w:r>
          </w:p>
        </w:tc>
        <w:tc>
          <w:tcPr>
            <w:tcW w:type="dxa" w:w="206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Active sats end-period</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~9,800</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~9,600 (Q1'26)</w:t>
            </w:r>
          </w:p>
        </w:tc>
        <w:tc>
          <w:tcPr>
            <w:tcW w:type="dxa" w:w="110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+2%</w:t>
            </w:r>
          </w:p>
        </w:tc>
        <w:tc>
          <w:tcPr>
            <w:tcW w:type="dxa" w:w="2060"/>
            <w:tcBorders>
              <w:top w:val="single" w:color="94A3B8" w:sz="4"/>
              <w:left w:val="single" w:color="94A3B8" w:sz="4"/>
              <w:bottom w:val="single" w:color="94A3B8" w:sz="4"/>
              <w:right w:val="single" w:color="94A3B8" w:sz="4"/>
            </w:tcBorders>
            <w:shd w:fill="D1FAE5"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Starlink consumer revenue 2025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7,852 (incl DTC)</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7,208 (excl Mobile)</w:t>
            </w:r>
          </w:p>
        </w:tc>
        <w:tc>
          <w:tcPr>
            <w:tcW w:type="dxa" w:w="11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+8.9%</w:t>
            </w:r>
          </w:p>
        </w:tc>
        <w:tc>
          <w:tcPr>
            <w:tcW w:type="dxa" w:w="206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Close (bucket mismatch)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Connectivity revenue total 2025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10,372</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11,387</w:t>
            </w:r>
          </w:p>
        </w:tc>
        <w:tc>
          <w:tcPr>
            <w:tcW w:type="dxa" w:w="11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−8.9%</w:t>
            </w:r>
          </w:p>
        </w:tc>
        <w:tc>
          <w:tcPr>
            <w:tcW w:type="dxa" w:w="206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Off (low side)</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Space + Connectivity Adj EBITDA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8,690</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7,821</w:t>
            </w:r>
          </w:p>
        </w:tc>
        <w:tc>
          <w:tcPr>
            <w:tcW w:type="dxa" w:w="11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+11.1%</w:t>
            </w:r>
          </w:p>
        </w:tc>
        <w:tc>
          <w:tcPr>
            <w:tcW w:type="dxa" w:w="206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Off (high side)</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EBITDA margin %</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59.3%</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50.5%</w:t>
            </w:r>
          </w:p>
        </w:tc>
        <w:tc>
          <w:tcPr>
            <w:tcW w:type="dxa" w:w="11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+8.8pp</w:t>
            </w:r>
          </w:p>
        </w:tc>
        <w:tc>
          <w:tcPr>
            <w:tcW w:type="dxa" w:w="206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Margin too rich</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Starlink Subscribers end-2025 (M)</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6.41</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8.9</w:t>
            </w:r>
          </w:p>
        </w:tc>
        <w:tc>
          <w:tcPr>
            <w:tcW w:type="dxa" w:w="110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−28%</w:t>
            </w:r>
          </w:p>
        </w:tc>
        <w:tc>
          <w:tcPr>
            <w:tcW w:type="dxa" w:w="206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Material miss</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Starlink ARPU ($/month, FY)</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~100</w:t>
            </w:r>
          </w:p>
        </w:tc>
        <w:tc>
          <w:tcPr>
            <w:tcW w:type="dxa" w:w="15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81</w:t>
            </w:r>
          </w:p>
        </w:tc>
        <w:tc>
          <w:tcPr>
            <w:tcW w:type="dxa" w:w="110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center"/>
            </w:pPr>
            <w:r>
              <w:rPr>
                <w:rFonts w:ascii="Arial" w:cs="Arial" w:eastAsia="Arial" w:hAnsi="Arial"/>
                <w:b w:val="false"/>
                <w:bCs w:val="false"/>
                <w:color w:val="1F2937"/>
                <w:sz w:val="20"/>
                <w:szCs w:val="20"/>
              </w:rPr>
              <w:t xml:space="preserve">+23%</w:t>
            </w:r>
          </w:p>
        </w:tc>
        <w:tc>
          <w:tcPr>
            <w:tcW w:type="dxa" w:w="206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center"/>
            </w:pPr>
            <w:r>
              <w:rPr>
                <w:rFonts w:ascii="Arial" w:cs="Arial" w:eastAsia="Arial" w:hAnsi="Arial"/>
                <w:b/>
                <w:bCs/>
                <w:color w:val="1F2937"/>
                <w:sz w:val="20"/>
                <w:szCs w:val="20"/>
              </w:rPr>
              <w:t xml:space="preserve">Material miss</w:t>
            </w:r>
          </w:p>
        </w:tc>
      </w:tr>
    </w:tbl>
    <w:p>
      <w:pPr>
        <w:spacing w:after="12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2937"/>
          <w:sz w:val="32"/>
          <w:szCs w:val="32"/>
        </w:rPr>
        <w:t xml:space="preserve">1. Revenue — line by line</w:t>
      </w:r>
    </w:p>
    <w:p>
      <w:pPr>
        <w:pStyle w:val="Heading2"/>
        <w:spacing w:after="120" w:before="240"/>
      </w:pPr>
      <w:r>
        <w:rPr>
          <w:rFonts w:ascii="Arial" w:cs="Arial" w:eastAsia="Arial" w:hAnsi="Arial"/>
          <w:b/>
          <w:bCs/>
          <w:color w:val="1F2937"/>
          <w:sz w:val="26"/>
          <w:szCs w:val="26"/>
        </w:rPr>
        <w:t xml:space="preserve">1.1 The top line</w:t>
      </w:r>
    </w:p>
    <w:p>
      <w:pPr>
        <w:spacing w:after="120"/>
      </w:pPr>
      <w:r>
        <w:rPr>
          <w:rFonts w:ascii="Arial" w:cs="Arial" w:eastAsia="Arial" w:hAnsi="Arial"/>
          <w:sz w:val="22"/>
          <w:szCs w:val="22"/>
        </w:rPr>
        <w:t xml:space="preserve">Our model anchored 2025 Group Revenue at $14,650M. The S-1 reports consolidated revenue of $18,674M, but that's the wrong number to compare against — it includes xAI and X, which were retroactively consolidated into all periods. The honest comparison is Space + Connectivity, which is $15,473M. We came in 5.3% light. That's a tighter result than we typically see on a debut filing — the rebuild architecture held up.</w:t>
      </w:r>
    </w:p>
    <w:p>
      <w:pPr>
        <w:pStyle w:val="Heading3"/>
        <w:spacing w:after="80" w:before="180"/>
      </w:pPr>
      <w:r>
        <w:rPr>
          <w:rFonts w:ascii="Arial" w:cs="Arial" w:eastAsia="Arial" w:hAnsi="Arial"/>
          <w:b/>
          <w:bCs/>
          <w:color w:val="374151"/>
          <w:sz w:val="22"/>
          <w:szCs w:val="22"/>
        </w:rPr>
        <w:t xml:space="preserve">Talking-track sentence</w:t>
      </w:r>
    </w:p>
    <w:p>
      <w:pPr>
        <w:spacing w:after="120"/>
      </w:pPr>
      <w:r>
        <w:rPr>
          <w:rFonts w:ascii="Arial" w:cs="Arial" w:eastAsia="Arial" w:hAnsi="Arial"/>
          <w:sz w:val="22"/>
          <w:szCs w:val="22"/>
        </w:rPr>
        <w:t xml:space="preserve">"Our 2025 standalone-SpaceX revenue estimate of $14.65 billion came in within five percent of what the S-1 disclosed. The model holds."</w:t>
      </w:r>
    </w:p>
    <w:p>
      <w:pPr>
        <w:pStyle w:val="Heading2"/>
        <w:spacing w:after="120" w:before="240"/>
      </w:pPr>
      <w:r>
        <w:rPr>
          <w:rFonts w:ascii="Arial" w:cs="Arial" w:eastAsia="Arial" w:hAnsi="Arial"/>
          <w:b/>
          <w:bCs/>
          <w:color w:val="1F2937"/>
          <w:sz w:val="26"/>
          <w:szCs w:val="26"/>
        </w:rPr>
        <w:t xml:space="preserve">1.2 Space segment — customer launch revenue</w:t>
      </w:r>
    </w:p>
    <w:p>
      <w:pPr>
        <w:spacing w:after="120"/>
      </w:pPr>
      <w:r>
        <w:rPr>
          <w:rFonts w:ascii="Arial" w:cs="Arial" w:eastAsia="Arial" w:hAnsi="Arial"/>
          <w:sz w:val="22"/>
          <w:szCs w:val="22"/>
        </w:rPr>
        <w:t xml:space="preserve">We anchored F9 customer launch revenue at $4,290M. The S-1 Space segment came in at $4,086M — and that's the right comparator because the Space segment by definition only captures customer-facing launches; internal Starlink launches are capitalised into Connectivity. We overshot by 5.0%, well within tolerance.</w:t>
      </w:r>
    </w:p>
    <w:p>
      <w:pPr>
        <w:spacing w:after="120"/>
      </w:pPr>
      <w:r>
        <w:rPr>
          <w:rFonts w:ascii="Arial" w:cs="Arial" w:eastAsia="Arial" w:hAnsi="Arial"/>
          <w:sz w:val="22"/>
          <w:szCs w:val="22"/>
        </w:rPr>
        <w:t xml:space="preserve">Composition inside Space: $2,576M was Launch Services (point-in-time recognition, single payload missions) and $1,510M was Launch &amp; Development (NASA CRS extension, DoW contract — recognised over time). The Launch &amp; Development line jumped $298M YoY thanks to the CRS extension and a new Department of War contract — that's the kind of detail worth knowing if anyone asks why Space revenue rose only 7.6% despite launches going up 23%.</w:t>
      </w:r>
    </w:p>
    <w:p>
      <w:pPr>
        <w:pStyle w:val="Heading2"/>
        <w:spacing w:after="120" w:before="240"/>
      </w:pPr>
      <w:r>
        <w:rPr>
          <w:rFonts w:ascii="Arial" w:cs="Arial" w:eastAsia="Arial" w:hAnsi="Arial"/>
          <w:b/>
          <w:bCs/>
          <w:color w:val="1F2937"/>
          <w:sz w:val="26"/>
          <w:szCs w:val="26"/>
        </w:rPr>
        <w:t xml:space="preserve">1.3 Connectivity segment — the bucket reconciliation</w:t>
      </w:r>
    </w:p>
    <w:p>
      <w:pPr>
        <w:spacing w:after="120"/>
      </w:pPr>
      <w:r>
        <w:rPr>
          <w:rFonts w:ascii="Arial" w:cs="Arial" w:eastAsia="Arial" w:hAnsi="Arial"/>
          <w:sz w:val="22"/>
          <w:szCs w:val="22"/>
        </w:rPr>
        <w:t xml:space="preserve">This is where definitions matter. The S-1 breaks Connectivity into Consumer ($7,208M) and Enterprise &amp; Government including Mobile ($4,179M). Our model splits it as Starlink+DTC ($7,852M) and Starshield ($2,520M). Those buckets don't map cleanly:</w:t>
      </w:r>
    </w:p>
    <w:p>
      <w:pPr>
        <w:pStyle w:val="ListParagraph"/>
        <w:numPr>
          <w:ilvl w:val="0"/>
          <w:numId w:val="2"/>
        </w:numPr>
        <w:spacing w:after="80"/>
      </w:pPr>
      <w:r>
        <w:rPr>
          <w:rFonts w:ascii="Arial" w:cs="Arial" w:eastAsia="Arial" w:hAnsi="Arial"/>
          <w:sz w:val="22"/>
          <w:szCs w:val="22"/>
        </w:rPr>
        <w:t xml:space="preserve">Our Starlink+DTC line includes DTC. S-1's Consumer line excludes Mobile. Hence we look $644M too high on what's nominally the same line.</w:t>
      </w:r>
    </w:p>
    <w:p>
      <w:pPr>
        <w:pStyle w:val="ListParagraph"/>
        <w:numPr>
          <w:ilvl w:val="0"/>
          <w:numId w:val="2"/>
        </w:numPr>
        <w:spacing w:after="80"/>
      </w:pPr>
      <w:r>
        <w:rPr>
          <w:rFonts w:ascii="Arial" w:cs="Arial" w:eastAsia="Arial" w:hAnsi="Arial"/>
          <w:sz w:val="22"/>
          <w:szCs w:val="22"/>
        </w:rPr>
        <w:t xml:space="preserve">Our Starshield line is meant to capture government-only. S-1's E&amp;G bucket includes commercial enterprise (Maersk, United Airlines, John Deere etc.), government (FEMA, NOAA, Starshield), and Starlink Mobile. The $4,179M figure is way wider than Starshield-only.</w:t>
      </w:r>
    </w:p>
    <w:p>
      <w:pPr>
        <w:pStyle w:val="ListParagraph"/>
        <w:numPr>
          <w:ilvl w:val="0"/>
          <w:numId w:val="2"/>
        </w:numPr>
        <w:spacing w:after="80"/>
      </w:pPr>
      <w:r>
        <w:rPr>
          <w:rFonts w:ascii="Arial" w:cs="Arial" w:eastAsia="Arial" w:hAnsi="Arial"/>
          <w:sz w:val="22"/>
          <w:szCs w:val="22"/>
        </w:rPr>
        <w:t xml:space="preserve">Net of the bucket mismatch, our total Connectivity ($10,372M) is 8.9% below S-1 ($11,387M). That's the cleanest read.</w:t>
      </w:r>
    </w:p>
    <w:p>
      <w:pPr>
        <w:pStyle w:val="Heading3"/>
        <w:spacing w:after="80" w:before="180"/>
      </w:pPr>
      <w:r>
        <w:rPr>
          <w:rFonts w:ascii="Arial" w:cs="Arial" w:eastAsia="Arial" w:hAnsi="Arial"/>
          <w:b/>
          <w:bCs/>
          <w:color w:val="374151"/>
          <w:sz w:val="22"/>
          <w:szCs w:val="22"/>
        </w:rPr>
        <w:t xml:space="preserve">What to say if asked</w:t>
      </w:r>
    </w:p>
    <w:p>
      <w:pPr>
        <w:spacing w:after="120"/>
      </w:pPr>
      <w:r>
        <w:rPr>
          <w:rFonts w:ascii="Arial" w:cs="Arial" w:eastAsia="Arial" w:hAnsi="Arial"/>
          <w:sz w:val="22"/>
          <w:szCs w:val="22"/>
        </w:rPr>
        <w:t xml:space="preserve">"On Connectivity we modelled $10.4 billion in revenue. The S-1 reported $11.4 billion across the whole Connectivity segment — including enterprise, government, and the satellite-to-mobile business. We were nine percent low. The miss is mostly enterprise and Mobile coming in faster than we projected."</w:t>
      </w:r>
    </w:p>
    <w:p>
      <w:pPr>
        <w:pStyle w:val="Heading2"/>
        <w:spacing w:after="120" w:before="240"/>
      </w:pPr>
      <w:r>
        <w:rPr>
          <w:rFonts w:ascii="Arial" w:cs="Arial" w:eastAsia="Arial" w:hAnsi="Arial"/>
          <w:b/>
          <w:bCs/>
          <w:color w:val="1F2937"/>
          <w:sz w:val="26"/>
          <w:szCs w:val="26"/>
        </w:rPr>
        <w:t xml:space="preserve">1.4 Where the growth came from</w:t>
      </w:r>
    </w:p>
    <w:p>
      <w:pPr>
        <w:spacing w:after="120"/>
      </w:pPr>
      <w:r>
        <w:rPr>
          <w:rFonts w:ascii="Arial" w:cs="Arial" w:eastAsia="Arial" w:hAnsi="Arial"/>
          <w:sz w:val="22"/>
          <w:szCs w:val="22"/>
        </w:rPr>
        <w:t xml:space="preserve">The S-1 gives us the decomposition. Connectivity grew $3,788M YoY in 2025:</w:t>
      </w:r>
    </w:p>
    <w:p>
      <w:pPr>
        <w:pStyle w:val="ListParagraph"/>
        <w:numPr>
          <w:ilvl w:val="0"/>
          <w:numId w:val="2"/>
        </w:numPr>
        <w:spacing w:after="80"/>
      </w:pPr>
      <w:r>
        <w:rPr>
          <w:rFonts w:ascii="Arial" w:cs="Arial" w:eastAsia="Arial" w:hAnsi="Arial"/>
          <w:sz w:val="22"/>
          <w:szCs w:val="22"/>
        </w:rPr>
        <w:t xml:space="preserve">Consumer subscribers contributed +$2,377M of growth (99.9% subscriber growth offset by 11.2% ARPU decline)</w:t>
      </w:r>
    </w:p>
    <w:p>
      <w:pPr>
        <w:pStyle w:val="ListParagraph"/>
        <w:numPr>
          <w:ilvl w:val="0"/>
          <w:numId w:val="2"/>
        </w:numPr>
        <w:spacing w:after="80"/>
      </w:pPr>
      <w:r>
        <w:rPr>
          <w:rFonts w:ascii="Arial" w:cs="Arial" w:eastAsia="Arial" w:hAnsi="Arial"/>
          <w:sz w:val="22"/>
          <w:szCs w:val="22"/>
        </w:rPr>
        <w:t xml:space="preserve">Enterprise (incl. Mobile) contributed +$1,218M, of which Mobile alone was +$632M</w:t>
      </w:r>
    </w:p>
    <w:p>
      <w:pPr>
        <w:pStyle w:val="ListParagraph"/>
        <w:numPr>
          <w:ilvl w:val="0"/>
          <w:numId w:val="2"/>
        </w:numPr>
        <w:spacing w:after="80"/>
      </w:pPr>
      <w:r>
        <w:rPr>
          <w:rFonts w:ascii="Arial" w:cs="Arial" w:eastAsia="Arial" w:hAnsi="Arial"/>
          <w:sz w:val="22"/>
          <w:szCs w:val="22"/>
        </w:rPr>
        <w:t xml:space="preserve">Government contributed +$193M</w:t>
      </w:r>
    </w:p>
    <w:p>
      <w:pPr>
        <w:spacing w:after="120"/>
      </w:pPr>
      <w:r>
        <w:rPr>
          <w:rFonts w:ascii="Arial" w:cs="Arial" w:eastAsia="Arial" w:hAnsi="Arial"/>
          <w:sz w:val="22"/>
          <w:szCs w:val="22"/>
        </w:rPr>
        <w:t xml:space="preserve">Implication: Mobile/DTC is real money now — adding $632M in a single year. We should rebuild this with explicit Mobile rev breakouts in the next model refresh.</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2. Operating metrics — where the misses hide</w:t>
      </w:r>
    </w:p>
    <w:p>
      <w:pPr>
        <w:pStyle w:val="Heading2"/>
        <w:spacing w:after="120" w:before="240"/>
      </w:pPr>
      <w:r>
        <w:rPr>
          <w:rFonts w:ascii="Arial" w:cs="Arial" w:eastAsia="Arial" w:hAnsi="Arial"/>
          <w:b/>
          <w:bCs/>
          <w:color w:val="1F2937"/>
          <w:sz w:val="26"/>
          <w:szCs w:val="26"/>
        </w:rPr>
        <w:t xml:space="preserve">2.1 Subscribers — we were too low</w:t>
      </w:r>
    </w:p>
    <w:p>
      <w:pPr>
        <w:spacing w:after="120"/>
      </w:pPr>
      <w:r>
        <w:rPr>
          <w:rFonts w:ascii="Arial" w:cs="Arial" w:eastAsia="Arial" w:hAnsi="Arial"/>
          <w:sz w:val="22"/>
          <w:szCs w:val="22"/>
        </w:rPr>
        <w:t xml:space="preserve">Our Sprint 4 outturn was 6.41M Starlink BB subscribers at end-2025. S-1 reports 8.9M Starlink Subscribers at Dec 31, 2025. We undershot by 28%.</w:t>
      </w:r>
    </w:p>
    <w:p>
      <w:pPr>
        <w:spacing w:after="120"/>
      </w:pPr>
      <w:r>
        <w:rPr>
          <w:rFonts w:ascii="Arial" w:cs="Arial" w:eastAsia="Arial" w:hAnsi="Arial"/>
          <w:sz w:val="22"/>
          <w:szCs w:val="22"/>
        </w:rPr>
        <w:t xml:space="preserve">Two things to flag about that number. One, definition: S-1's "Starlink Subscribers" excludes managed enterprise and government accounts — these are pure consumer + small-business plans. So this is a like-for-like comparison with what we were trying to model. Two, the growth shape: 4.4M end-2024 → 8.9M end-2025 = +102%. Q1'26 already at 10.3M, which means trailing-twelve-month growth is still running at +105%.</w:t>
      </w:r>
    </w:p>
    <w:p>
      <w:pPr>
        <w:spacing w:after="120"/>
      </w:pPr>
      <w:r>
        <w:rPr>
          <w:rFonts w:ascii="Arial" w:cs="Arial" w:eastAsia="Arial" w:hAnsi="Arial"/>
          <w:sz w:val="22"/>
          <w:szCs w:val="22"/>
        </w:rPr>
        <w:t xml:space="preserve">Implication for the model: lift the 2025 subscribers anchor to 8.9M, recalibrate the V2 Mini BB ramp upward, and re-run Sprint 4 with the higher subscriber base. The architecture handles it; only the input value moves.</w:t>
      </w:r>
    </w:p>
    <w:p>
      <w:pPr>
        <w:pStyle w:val="Heading2"/>
        <w:spacing w:after="120" w:before="240"/>
      </w:pPr>
      <w:r>
        <w:rPr>
          <w:rFonts w:ascii="Arial" w:cs="Arial" w:eastAsia="Arial" w:hAnsi="Arial"/>
          <w:b/>
          <w:bCs/>
          <w:color w:val="1F2937"/>
          <w:sz w:val="26"/>
          <w:szCs w:val="26"/>
        </w:rPr>
        <w:t xml:space="preserve">2.2 ARPU — the headline miss</w:t>
      </w:r>
    </w:p>
    <w:p>
      <w:pPr>
        <w:spacing w:after="120"/>
      </w:pPr>
      <w:r>
        <w:rPr>
          <w:rFonts w:ascii="Arial" w:cs="Arial" w:eastAsia="Arial" w:hAnsi="Arial"/>
          <w:sz w:val="22"/>
          <w:szCs w:val="22"/>
        </w:rPr>
        <w:t xml:space="preserve">This is the most important variance in the entire workbook. Our Sprint 4 result implied ARPU of roughly $100/month (BB revenue $7,696M ÷ 6.41M subs ÷ 12 months). S-1 reports 2025 ARPU of $81/month, and Q1 2026 ARPU has already fallen to $66/month.</w:t>
      </w:r>
    </w:p>
    <w:p>
      <w:pPr>
        <w:spacing w:after="120"/>
      </w:pPr>
      <w:r>
        <w:rPr>
          <w:rFonts w:ascii="Arial" w:cs="Arial" w:eastAsia="Arial" w:hAnsi="Arial"/>
          <w:sz w:val="22"/>
          <w:szCs w:val="22"/>
        </w:rPr>
        <w:t xml:space="preserve">And then they go further — this is a direct quote from page 87:</w:t>
      </w:r>
    </w:p>
    <w:p>
      <w:pPr>
        <w:spacing w:after="120" w:before="120"/>
        <w:ind w:left="720" w:right="720"/>
      </w:pPr>
      <w:r>
        <w:rPr>
          <w:rFonts w:ascii="Arial" w:cs="Arial" w:eastAsia="Arial" w:hAnsi="Arial"/>
          <w:i/>
          <w:iCs/>
          <w:color w:val="475569"/>
          <w:sz w:val="22"/>
          <w:szCs w:val="22"/>
        </w:rPr>
        <w:t xml:space="preserve">"We generally expect Starlink Subscriber ARPU to continue to decline over the next few years as the portion of our subscriber base outside North America continues to grow, as we add lower priced service plans, and as we adjust the monthly service plan fees we charge for broadband offerings."</w:t>
      </w:r>
    </w:p>
    <w:p>
      <w:pPr>
        <w:spacing w:after="120"/>
      </w:pPr>
      <w:r>
        <w:rPr>
          <w:rFonts w:ascii="Arial" w:cs="Arial" w:eastAsia="Arial" w:hAnsi="Arial"/>
          <w:sz w:val="22"/>
          <w:szCs w:val="22"/>
        </w:rPr>
        <w:t xml:space="preserve">That's management explicitly de-anchoring ARPU. The thesis pivot is: it's a volume story, not a price story. Strategy is to harvest international and lower-tier subscribers, not to extract more dollars from existing ones.</w:t>
      </w:r>
    </w:p>
    <w:p>
      <w:pPr>
        <w:pStyle w:val="Heading3"/>
        <w:spacing w:after="80" w:before="180"/>
      </w:pPr>
      <w:r>
        <w:rPr>
          <w:rFonts w:ascii="Arial" w:cs="Arial" w:eastAsia="Arial" w:hAnsi="Arial"/>
          <w:b/>
          <w:bCs/>
          <w:color w:val="374151"/>
          <w:sz w:val="22"/>
          <w:szCs w:val="22"/>
        </w:rPr>
        <w:t xml:space="preserve">How this changes the model</w:t>
      </w:r>
    </w:p>
    <w:p>
      <w:pPr>
        <w:spacing w:after="120"/>
      </w:pPr>
      <w:r>
        <w:rPr>
          <w:rFonts w:ascii="Arial" w:cs="Arial" w:eastAsia="Arial" w:hAnsi="Arial"/>
          <w:sz w:val="22"/>
          <w:szCs w:val="22"/>
        </w:rPr>
        <w:t xml:space="preserve">The Sprint 4.5 retune (or next sprint refresh) should lower the 2025 ARPU anchor from ~$100 to $81 and build a downward glide path to $55-$65 by 2030. The good news: lower ARPU × higher subs roughly cancels out at revenue. The bad news: the unit economics shape is different — lower ARPU compresses Connectivity margin if marginal subscriber cost stays flat.</w:t>
      </w:r>
    </w:p>
    <w:p>
      <w:pPr>
        <w:pStyle w:val="Heading2"/>
        <w:spacing w:after="120" w:before="240"/>
      </w:pPr>
      <w:r>
        <w:rPr>
          <w:rFonts w:ascii="Arial" w:cs="Arial" w:eastAsia="Arial" w:hAnsi="Arial"/>
          <w:b/>
          <w:bCs/>
          <w:color w:val="1F2937"/>
          <w:sz w:val="26"/>
          <w:szCs w:val="26"/>
        </w:rPr>
        <w:t xml:space="preserve">2.3 Launches — within tolerance</w:t>
      </w:r>
    </w:p>
    <w:p>
      <w:pPr>
        <w:spacing w:after="120"/>
      </w:pPr>
      <w:r>
        <w:rPr>
          <w:rFonts w:ascii="Arial" w:cs="Arial" w:eastAsia="Arial" w:hAnsi="Arial"/>
          <w:sz w:val="22"/>
          <w:szCs w:val="22"/>
        </w:rPr>
        <w:t xml:space="preserve">Our anchor: 171 Falcon launches (132 internal + 39 customer). S-1 actual: 165 Falcon (122 internal + 43 customer). Total Falcon-plus-Starship missions came in at 170 for the year.</w:t>
      </w:r>
    </w:p>
    <w:p>
      <w:pPr>
        <w:spacing w:after="120"/>
      </w:pPr>
      <w:r>
        <w:rPr>
          <w:rFonts w:ascii="Arial" w:cs="Arial" w:eastAsia="Arial" w:hAnsi="Arial"/>
          <w:sz w:val="22"/>
          <w:szCs w:val="22"/>
        </w:rPr>
        <w:t xml:space="preserve">Notable detail: customer launches were essentially flat year-on-year (45 in 2024 → 43 in 2025), even as total Falcon cadence rose from 134 to 165. The growth is being absorbed almost entirely by internal Starlink deployment. That's a structural shift in the launch mix and it matters for Customer Launch IRR — the marginal Falcon launch is now an internal customer at zero margin under our vending-machine framing.</w:t>
      </w:r>
    </w:p>
    <w:p>
      <w:pPr>
        <w:pStyle w:val="Heading2"/>
        <w:spacing w:after="120" w:before="240"/>
      </w:pPr>
      <w:r>
        <w:rPr>
          <w:rFonts w:ascii="Arial" w:cs="Arial" w:eastAsia="Arial" w:hAnsi="Arial"/>
          <w:b/>
          <w:bCs/>
          <w:color w:val="1F2937"/>
          <w:sz w:val="26"/>
          <w:szCs w:val="26"/>
        </w:rPr>
        <w:t xml:space="preserve">2.4 Mass to orbit</w:t>
      </w:r>
    </w:p>
    <w:p>
      <w:pPr>
        <w:spacing w:after="120"/>
      </w:pPr>
      <w:r>
        <w:rPr>
          <w:rFonts w:ascii="Arial" w:cs="Arial" w:eastAsia="Arial" w:hAnsi="Arial"/>
          <w:sz w:val="22"/>
          <w:szCs w:val="22"/>
        </w:rPr>
        <w:t xml:space="preserve">S-1 reports 2,213 metric tons of mass to orbit in 2025 (vs 1,699 in 2024 and 1,210 in 2023). Of that, customer payloads were 312 mt and internal payloads were 1,901 mt. The average customer payload across all years has been around 13 metric tons per mission.</w:t>
      </w:r>
    </w:p>
    <w:p>
      <w:pPr>
        <w:spacing w:after="120"/>
      </w:pPr>
      <w:r>
        <w:rPr>
          <w:rFonts w:ascii="Arial" w:cs="Arial" w:eastAsia="Arial" w:hAnsi="Arial"/>
          <w:sz w:val="22"/>
          <w:szCs w:val="22"/>
        </w:rPr>
        <w:t xml:space="preserve">Mach33 should validate Sprint 4's Starlink-deployed kg sums to roughly 1,900 mt for 2025 and Sprint 3's customer-launch kg sums to roughly 312 mt. If they don't, that's a kg-pool calibration item.</w:t>
      </w:r>
    </w:p>
    <w:p>
      <w:pPr>
        <w:pStyle w:val="Heading2"/>
        <w:spacing w:after="120" w:before="240"/>
      </w:pPr>
      <w:r>
        <w:rPr>
          <w:rFonts w:ascii="Arial" w:cs="Arial" w:eastAsia="Arial" w:hAnsi="Arial"/>
          <w:b/>
          <w:bCs/>
          <w:color w:val="1F2937"/>
          <w:sz w:val="26"/>
          <w:szCs w:val="26"/>
        </w:rPr>
        <w:t xml:space="preserve">2.5 Satellite count and constellation</w:t>
      </w:r>
    </w:p>
    <w:p>
      <w:pPr>
        <w:spacing w:after="120"/>
      </w:pPr>
      <w:r>
        <w:rPr>
          <w:rFonts w:ascii="Arial" w:cs="Arial" w:eastAsia="Arial" w:hAnsi="Arial"/>
          <w:sz w:val="22"/>
          <w:szCs w:val="22"/>
        </w:rPr>
        <w:t xml:space="preserve">Our anchor: ~9,800 active sats end-2025. S-1: ~9,600 as of March 31, 2026 — which means end-2025 was probably slightly less, call it ~9,300-9,500. We were 200-500 sats high, roughly +2-5%. Effectively a match.</w:t>
      </w:r>
    </w:p>
    <w:p>
      <w:pPr>
        <w:spacing w:after="120"/>
      </w:pPr>
      <w:r>
        <w:rPr>
          <w:rFonts w:ascii="Arial" w:cs="Arial" w:eastAsia="Arial" w:hAnsi="Arial"/>
          <w:sz w:val="22"/>
          <w:szCs w:val="22"/>
        </w:rPr>
        <w:t xml:space="preserve">Sub-detail worth knowing: V1 Mobile satellites grew from 360 (Jan 2025) to 650 (March 2026). That's the Starlink Mobile constellation — separate from BB. It accounts for ~6.8% of total active sats. Mach33 had V2 DTC active at 650 end-2025; the V1/V2 naming is the S-1's old/new convention but the count lines up.</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3. Margins and EBITDA — we were too rich</w:t>
      </w:r>
    </w:p>
    <w:p>
      <w:pPr>
        <w:spacing w:after="120"/>
      </w:pPr>
      <w:r>
        <w:rPr>
          <w:rFonts w:ascii="Arial" w:cs="Arial" w:eastAsia="Arial" w:hAnsi="Arial"/>
          <w:sz w:val="22"/>
          <w:szCs w:val="22"/>
        </w:rPr>
        <w:t xml:space="preserve">Our anchor: Space + Connectivity Adj EBITDA of $8,690M on $14,650M revenue (59.3% margin). S-1 actual: Adj EBITDA of $7,821M on $15,473M revenue (50.5% margin). We were $869M (+11%) too high on EBITDA and 8.8 percentage points too rich on margin.</w:t>
      </w:r>
    </w:p>
    <w:p>
      <w:pPr>
        <w:pStyle w:val="Heading2"/>
        <w:spacing w:after="120" w:before="240"/>
      </w:pPr>
      <w:r>
        <w:rPr>
          <w:rFonts w:ascii="Arial" w:cs="Arial" w:eastAsia="Arial" w:hAnsi="Arial"/>
          <w:b/>
          <w:bCs/>
          <w:color w:val="1F2937"/>
          <w:sz w:val="26"/>
          <w:szCs w:val="26"/>
        </w:rPr>
        <w:t xml:space="preserve">3.1 What drove the margin compression vs our model</w:t>
      </w:r>
    </w:p>
    <w:p>
      <w:pPr>
        <w:spacing w:after="120"/>
      </w:pPr>
      <w:r>
        <w:rPr>
          <w:rFonts w:ascii="Arial" w:cs="Arial" w:eastAsia="Arial" w:hAnsi="Arial"/>
          <w:sz w:val="22"/>
          <w:szCs w:val="22"/>
        </w:rPr>
        <w:t xml:space="preserve">Three things, all visible in the S-1 segment P&amp;Ls:</w:t>
      </w:r>
    </w:p>
    <w:p>
      <w:pPr>
        <w:spacing w:after="120"/>
      </w:pPr>
      <w:r>
        <w:rPr>
          <w:rFonts w:ascii="Arial" w:cs="Arial" w:eastAsia="Arial" w:hAnsi="Arial"/>
          <w:sz w:val="22"/>
          <w:szCs w:val="22"/>
        </w:rP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400"/>
      </w:tblGrid>
      <w:tr>
        <w:trPr>
          <w:tblHeader/>
        </w:trPr>
        <w:tc>
          <w:tcPr>
            <w:tcW w:type="dxa" w:w="32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Driver</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 ($M)</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($M)</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YoY change</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Space R&amp;D (Starship)</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1,835</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3,004</w:t>
            </w:r>
          </w:p>
        </w:tc>
        <w:tc>
          <w:tcPr>
            <w:tcW w:type="dxa" w:w="140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+1,169</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Connectivity COGS</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4,768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5,921</w:t>
            </w:r>
          </w:p>
        </w:tc>
        <w:tc>
          <w:tcPr>
            <w:tcW w:type="dxa" w:w="14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+1,153</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Total depreciation (all segments)</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2,977</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5,915</w:t>
            </w:r>
          </w:p>
        </w:tc>
        <w:tc>
          <w:tcPr>
            <w:tcW w:type="dxa" w:w="1400"/>
            <w:tcBorders>
              <w:top w:val="single" w:color="94A3B8" w:sz="4"/>
              <w:left w:val="single" w:color="94A3B8" w:sz="4"/>
              <w:bottom w:val="single" w:color="94A3B8" w:sz="4"/>
              <w:right w:val="single" w:color="94A3B8" w:sz="4"/>
            </w:tcBorders>
            <w:shd w:fill="FEE2E2"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+2,938</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Connectivity SG&amp;A</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333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468</w:t>
            </w:r>
          </w:p>
        </w:tc>
        <w:tc>
          <w:tcPr>
            <w:tcW w:type="dxa" w:w="1400"/>
            <w:tcBorders>
              <w:top w:val="single" w:color="94A3B8" w:sz="4"/>
              <w:left w:val="single" w:color="94A3B8" w:sz="4"/>
              <w:bottom w:val="single" w:color="94A3B8" w:sz="4"/>
              <w:right w:val="single" w:color="94A3B8" w:sz="4"/>
            </w:tcBorders>
            <w:shd w:fill="FEF3C7" w:val="clear"/>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+135</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Starship R&amp;D growth alone is what flipped the Space segment from break-even in 2024 to a $657M loss in 2025. That's a deliberate management choice — they're accelerating Starship to support V3 and orbital compute. Our model needs to reflect that Space EBITDA does worse before it gets better.</w:t>
      </w:r>
    </w:p>
    <w:p>
      <w:pPr>
        <w:pStyle w:val="Heading2"/>
        <w:spacing w:after="120" w:before="240"/>
      </w:pPr>
      <w:r>
        <w:rPr>
          <w:rFonts w:ascii="Arial" w:cs="Arial" w:eastAsia="Arial" w:hAnsi="Arial"/>
          <w:b/>
          <w:bCs/>
          <w:color w:val="1F2937"/>
          <w:sz w:val="26"/>
          <w:szCs w:val="26"/>
        </w:rPr>
        <w:t xml:space="preserve">3.2 The connectivity margin story is actually pretty good</w:t>
      </w:r>
    </w:p>
    <w:p>
      <w:pPr>
        <w:spacing w:after="120"/>
      </w:pPr>
      <w:r>
        <w:rPr>
          <w:rFonts w:ascii="Arial" w:cs="Arial" w:eastAsia="Arial" w:hAnsi="Arial"/>
          <w:sz w:val="22"/>
          <w:szCs w:val="22"/>
        </w:rPr>
        <w:t xml:space="preserve">Connectivity Adj EBITDA margin moved from 50.7% in 2024 to 62.9% in 2025 — a 12 point jump in one year. That's operating leverage on the subscriber growth. Our model had a 61.4% Module EBITDA margin in 2025 (Sprint 4 outturn) — very close to the S-1 figure.</w:t>
      </w:r>
    </w:p>
    <w:p>
      <w:pPr>
        <w:spacing w:after="120"/>
      </w:pPr>
      <w:r>
        <w:rPr>
          <w:rFonts w:ascii="Arial" w:cs="Arial" w:eastAsia="Arial" w:hAnsi="Arial"/>
          <w:sz w:val="22"/>
          <w:szCs w:val="22"/>
        </w:rPr>
        <w:t xml:space="preserve">So the margin overshoot at the consolidated level is almost entirely a Space segment story, driven by Starship R&amp;D acceleration we should have weighted more heavily in 2025.</w:t>
      </w:r>
    </w:p>
    <w:p>
      <w:pPr>
        <w:pStyle w:val="Heading2"/>
        <w:spacing w:after="120" w:before="240"/>
      </w:pPr>
      <w:r>
        <w:rPr>
          <w:rFonts w:ascii="Arial" w:cs="Arial" w:eastAsia="Arial" w:hAnsi="Arial"/>
          <w:b/>
          <w:bCs/>
          <w:color w:val="1F2937"/>
          <w:sz w:val="26"/>
          <w:szCs w:val="26"/>
        </w:rPr>
        <w:t xml:space="preserve">3.3 Constellation D&amp;A — Sprint 4.5 still valid</w:t>
      </w:r>
    </w:p>
    <w:p>
      <w:pPr>
        <w:spacing w:after="120"/>
      </w:pPr>
      <w:r>
        <w:rPr>
          <w:rFonts w:ascii="Arial" w:cs="Arial" w:eastAsia="Arial" w:hAnsi="Arial"/>
          <w:sz w:val="22"/>
          <w:szCs w:val="22"/>
        </w:rPr>
        <w:t xml:space="preserve">Sprint 4 ended with constellation D&amp;A of $437M versus a calibration target of $707M — a known $270M shortfall flagged for Sprint 4.5 retune. The S-1 doesn't disclose constellation-specific D&amp;A, but it does tell us total 2025 depreciation expense was $5,915M and gross sat PP&amp;E was $11,949M end-2025. Even with a 7-year life assumption (longer than our 5-year economic life), implied constellation D&amp;A would be ~$1.7B — comfortably above our $707M target.</w:t>
      </w:r>
    </w:p>
    <w:p>
      <w:pPr>
        <w:spacing w:after="120"/>
      </w:pPr>
      <w:r>
        <w:rPr>
          <w:rFonts w:ascii="Arial" w:cs="Arial" w:eastAsia="Arial" w:hAnsi="Arial"/>
          <w:sz w:val="22"/>
          <w:szCs w:val="22"/>
        </w:rPr>
        <w:t xml:space="preserve">Implication: Sprint 4.5 should not just add V1/V1.5 legacy D&amp;A (~$130M) and facility D&amp;A (~$140M). The methodology may need to revisit whether all capitalised launch costs and ground network depreciation are correctly flowing into the constellation D&amp;A row. The S-1's PP&amp;E table — particularly the $11,949M satellites + $2,404M launch sites lines — is the place to triangulate.</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4. CapEx and balance sheet</w:t>
      </w:r>
    </w:p>
    <w:p>
      <w:pPr>
        <w:pStyle w:val="Heading2"/>
        <w:spacing w:after="120" w:before="240"/>
      </w:pPr>
      <w:r>
        <w:rPr>
          <w:rFonts w:ascii="Arial" w:cs="Arial" w:eastAsia="Arial" w:hAnsi="Arial"/>
          <w:b/>
          <w:bCs/>
          <w:color w:val="1F2937"/>
          <w:sz w:val="26"/>
          <w:szCs w:val="26"/>
        </w:rPr>
        <w:t xml:space="preserve">4.1 The CapEx picture</w:t>
      </w:r>
    </w:p>
    <w:p>
      <w:pPr>
        <w:spacing w:after="120"/>
      </w:pPr>
      <w:r>
        <w:rPr>
          <w:rFonts w:ascii="Arial" w:cs="Arial" w:eastAsia="Arial" w:hAnsi="Arial"/>
          <w:sz w:val="22"/>
          <w:szCs w:val="22"/>
        </w:rPr>
        <w:t xml:space="preserve">Total CapEx for 2025 was $20,737M. Excluding AI (which is out of our model scope), Space + Connectivity CapEx was $8,010M. Breaking it down:</w:t>
      </w:r>
    </w:p>
    <w:p>
      <w:pPr>
        <w:spacing w:after="120"/>
      </w:pPr>
      <w:r>
        <w:rPr>
          <w:rFonts w:ascii="Arial" w:cs="Arial" w:eastAsia="Arial" w:hAnsi="Arial"/>
          <w:sz w:val="22"/>
          <w:szCs w:val="22"/>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400"/>
      </w:tblGrid>
      <w:tr>
        <w:trPr>
          <w:tblHeader/>
        </w:trPr>
        <w:tc>
          <w:tcPr>
            <w:tcW w:type="dxa" w:w="30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2023 ($M)</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 ($M)</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($M)</w:t>
            </w:r>
          </w:p>
        </w:tc>
        <w:tc>
          <w:tcPr>
            <w:tcW w:type="dxa" w:w="14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Q1 2026 ($M)</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Space</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1,497</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2,032</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3,832</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1,052</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Connectivity</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2,455</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3,498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4,178</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1,332</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AI (out of model scope)</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463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5,633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12,727</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val="false"/>
                <w:bCs w:val="false"/>
                <w:color w:val="1F2937"/>
                <w:sz w:val="20"/>
                <w:szCs w:val="20"/>
              </w:rPr>
              <w:t xml:space="preserve">7,723</w:t>
            </w:r>
          </w:p>
        </w:tc>
      </w:tr>
      <w:tr>
        <w:tc>
          <w:tcPr>
            <w:tcW w:type="dxa" w:w="30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bCs/>
                <w:color w:val="1F2937"/>
                <w:sz w:val="20"/>
                <w:szCs w:val="20"/>
              </w:rPr>
              <w:t xml:space="preserve">Total</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bCs/>
                <w:color w:val="1F2937"/>
                <w:sz w:val="20"/>
                <w:szCs w:val="20"/>
              </w:rPr>
              <w:t xml:space="preserve">4,415</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bCs/>
                <w:color w:val="1F2937"/>
                <w:sz w:val="20"/>
                <w:szCs w:val="20"/>
              </w:rPr>
              <w:t xml:space="preserve">11,163</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bCs/>
                <w:color w:val="1F2937"/>
                <w:sz w:val="20"/>
                <w:szCs w:val="20"/>
              </w:rPr>
              <w:t xml:space="preserve">20,737</w:t>
            </w:r>
          </w:p>
        </w:tc>
        <w:tc>
          <w:tcPr>
            <w:tcW w:type="dxa" w:w="14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right"/>
            </w:pPr>
            <w:r>
              <w:rPr>
                <w:rFonts w:ascii="Arial" w:cs="Arial" w:eastAsia="Arial" w:hAnsi="Arial"/>
                <w:b/>
                <w:bCs/>
                <w:color w:val="1F2937"/>
                <w:sz w:val="20"/>
                <w:szCs w:val="20"/>
              </w:rPr>
              <w:t xml:space="preserve">10,107</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Two things to flag:</w:t>
      </w:r>
    </w:p>
    <w:p>
      <w:pPr>
        <w:pStyle w:val="ListParagraph"/>
        <w:numPr>
          <w:ilvl w:val="0"/>
          <w:numId w:val="2"/>
        </w:numPr>
        <w:spacing w:after="80"/>
      </w:pPr>
      <w:r>
        <w:rPr>
          <w:rFonts w:ascii="Arial" w:cs="Arial" w:eastAsia="Arial" w:hAnsi="Arial"/>
          <w:sz w:val="22"/>
          <w:szCs w:val="22"/>
        </w:rPr>
        <w:t xml:space="preserve">Space CapEx nearly doubled in 2025 — almost entirely Starship facilities and pad infrastructure. Our model needs to reflect higher Space-segment CapEx for 2025-2027.</w:t>
      </w:r>
    </w:p>
    <w:p>
      <w:pPr>
        <w:pStyle w:val="ListParagraph"/>
        <w:numPr>
          <w:ilvl w:val="0"/>
          <w:numId w:val="2"/>
        </w:numPr>
        <w:spacing w:after="80"/>
      </w:pPr>
      <w:r>
        <w:rPr>
          <w:rFonts w:ascii="Arial" w:cs="Arial" w:eastAsia="Arial" w:hAnsi="Arial"/>
          <w:sz w:val="22"/>
          <w:szCs w:val="22"/>
        </w:rPr>
        <w:t xml:space="preserve">AI CapEx is $12.7B and growing — $7.7B in Q1 2026 alone. This is COLOSSUS + COLOSSUS II terrestrial AI buildout, not orbital. It's outside our SpaceX-only scope but worth knowing if anyone asks about "that headline $20B CapEx number."</w:t>
      </w:r>
    </w:p>
    <w:p>
      <w:pPr>
        <w:pStyle w:val="Heading2"/>
        <w:spacing w:after="120" w:before="240"/>
      </w:pPr>
      <w:r>
        <w:rPr>
          <w:rFonts w:ascii="Arial" w:cs="Arial" w:eastAsia="Arial" w:hAnsi="Arial"/>
          <w:b/>
          <w:bCs/>
          <w:color w:val="1F2937"/>
          <w:sz w:val="26"/>
          <w:szCs w:val="26"/>
        </w:rPr>
        <w:t xml:space="preserve">4.2 Cash position</w:t>
      </w:r>
    </w:p>
    <w:p>
      <w:pPr>
        <w:spacing w:after="120"/>
      </w:pPr>
      <w:r>
        <w:rPr>
          <w:rFonts w:ascii="Arial" w:cs="Arial" w:eastAsia="Arial" w:hAnsi="Arial"/>
          <w:sz w:val="22"/>
          <w:szCs w:val="22"/>
        </w:rPr>
        <w:t xml:space="preserve">This is a flag for the model. Our anchored EoY 2024 cash position was $5,000M. S-1 reports Dec 31, 2024 cash and equivalents of $11,385M. We were $6.4B (56%) too low. Likely explanation is definitional — our anchor was sourced from the Q4'25 CLEANUP "Earth tab R225" (rounded $4.7B) which may have been "available operating cash" excluding certain investments, not headline cash. Worth a clean-up pass; doesn't affect output materially but undermines audit defensibility.</w:t>
      </w:r>
    </w:p>
    <w:p>
      <w:pPr>
        <w:spacing w:after="120"/>
      </w:pPr>
      <w:r>
        <w:rPr>
          <w:rFonts w:ascii="Arial" w:cs="Arial" w:eastAsia="Arial" w:hAnsi="Arial"/>
          <w:sz w:val="22"/>
          <w:szCs w:val="22"/>
        </w:rPr>
        <w:t xml:space="preserve">More important is the 2025 cash flow:</w:t>
      </w:r>
    </w:p>
    <w:p>
      <w:pPr>
        <w:pStyle w:val="ListParagraph"/>
        <w:numPr>
          <w:ilvl w:val="0"/>
          <w:numId w:val="2"/>
        </w:numPr>
        <w:spacing w:after="80"/>
      </w:pPr>
      <w:r>
        <w:rPr>
          <w:rFonts w:ascii="Arial" w:cs="Arial" w:eastAsia="Arial" w:hAnsi="Arial"/>
          <w:sz w:val="22"/>
          <w:szCs w:val="22"/>
        </w:rPr>
        <w:t xml:space="preserve">Operating cash flow: $6,785M (vs $5,776M in 2024)</w:t>
      </w:r>
    </w:p>
    <w:p>
      <w:pPr>
        <w:pStyle w:val="ListParagraph"/>
        <w:numPr>
          <w:ilvl w:val="0"/>
          <w:numId w:val="2"/>
        </w:numPr>
        <w:spacing w:after="80"/>
      </w:pPr>
      <w:r>
        <w:rPr>
          <w:rFonts w:ascii="Arial" w:cs="Arial" w:eastAsia="Arial" w:hAnsi="Arial"/>
          <w:sz w:val="22"/>
          <w:szCs w:val="22"/>
        </w:rPr>
        <w:t xml:space="preserve">Cash and equivalents end-2025: $24,747M — they're sitting on a lot of cash</w:t>
      </w:r>
    </w:p>
    <w:p>
      <w:pPr>
        <w:pStyle w:val="ListParagraph"/>
        <w:numPr>
          <w:ilvl w:val="0"/>
          <w:numId w:val="2"/>
        </w:numPr>
        <w:spacing w:after="80"/>
      </w:pPr>
      <w:r>
        <w:rPr>
          <w:rFonts w:ascii="Arial" w:cs="Arial" w:eastAsia="Arial" w:hAnsi="Arial"/>
          <w:sz w:val="22"/>
          <w:szCs w:val="22"/>
        </w:rPr>
        <w:t xml:space="preserve">Q1 2026 cash drew down to $15,852M — that's $8.9B of net spend in one quarter, mostly AI CapEx and the EchoStar deal financing</w:t>
      </w:r>
    </w:p>
    <w:p>
      <w:pPr>
        <w:pStyle w:val="Heading2"/>
        <w:spacing w:after="120" w:before="240"/>
      </w:pPr>
      <w:r>
        <w:rPr>
          <w:rFonts w:ascii="Arial" w:cs="Arial" w:eastAsia="Arial" w:hAnsi="Arial"/>
          <w:b/>
          <w:bCs/>
          <w:color w:val="1F2937"/>
          <w:sz w:val="26"/>
          <w:szCs w:val="26"/>
        </w:rPr>
        <w:t xml:space="preserve">4.3 Backlog</w:t>
      </w:r>
    </w:p>
    <w:p>
      <w:pPr>
        <w:spacing w:after="120"/>
      </w:pPr>
      <w:r>
        <w:rPr>
          <w:rFonts w:ascii="Arial" w:cs="Arial" w:eastAsia="Arial" w:hAnsi="Arial"/>
          <w:sz w:val="22"/>
          <w:szCs w:val="22"/>
        </w:rPr>
        <w:t xml:space="preserve">S-1 discloses $28.4B of total backlog at Dec 31, 2025, with 32% expected to convert within 12 months. That's roughly $9B of contracted forward revenue baked in. Useful figure to cite as a floor under 2026 revenue estimates.</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5. What the S-1 tells us about the future</w:t>
      </w:r>
    </w:p>
    <w:p>
      <w:pPr>
        <w:pStyle w:val="Heading2"/>
        <w:spacing w:after="120" w:before="240"/>
      </w:pPr>
      <w:r>
        <w:rPr>
          <w:rFonts w:ascii="Arial" w:cs="Arial" w:eastAsia="Arial" w:hAnsi="Arial"/>
          <w:b/>
          <w:bCs/>
          <w:color w:val="1F2937"/>
          <w:sz w:val="26"/>
          <w:szCs w:val="26"/>
        </w:rPr>
        <w:t xml:space="preserve">5.1 V3 satellites and Starship — timing locked</w:t>
      </w:r>
    </w:p>
    <w:p>
      <w:pPr>
        <w:spacing w:after="120"/>
      </w:pPr>
      <w:r>
        <w:rPr>
          <w:rFonts w:ascii="Arial" w:cs="Arial" w:eastAsia="Arial" w:hAnsi="Arial"/>
          <w:sz w:val="22"/>
          <w:szCs w:val="22"/>
        </w:rPr>
        <w:t xml:space="preserve">S-1 is explicit: V3 deployment begins 2H 2026 on Starship, with up to 60 V3 satellites per launch (each delivering ~1 Tbps of downlink). That's a 20x increase in deployable capacity per launch vs a Falcon 9 mission. First commercial Starship payload delivery is also 2H 2026.</w:t>
      </w:r>
    </w:p>
    <w:p>
      <w:pPr>
        <w:spacing w:after="120"/>
      </w:pPr>
      <w:r>
        <w:rPr>
          <w:rFonts w:ascii="Arial" w:cs="Arial" w:eastAsia="Arial" w:hAnsi="Arial"/>
          <w:sz w:val="22"/>
          <w:szCs w:val="22"/>
        </w:rPr>
        <w:t xml:space="preserve">Our Sprint 4 already has V3 BB starting in 2026. The S-1 confirms our timing. The 60-sat-per-launch figure is a useful concrete anchor — it sets a payload-per-Starship-launch constraint for the Customer Launch and Allocator sprints.</w:t>
      </w:r>
    </w:p>
    <w:p>
      <w:pPr>
        <w:pStyle w:val="Heading2"/>
        <w:spacing w:after="120" w:before="240"/>
      </w:pPr>
      <w:r>
        <w:rPr>
          <w:rFonts w:ascii="Arial" w:cs="Arial" w:eastAsia="Arial" w:hAnsi="Arial"/>
          <w:b/>
          <w:bCs/>
          <w:color w:val="1F2937"/>
          <w:sz w:val="26"/>
          <w:szCs w:val="26"/>
        </w:rPr>
        <w:t xml:space="preserve">5.2 Orbital AI compute — anchored to 2028</w:t>
      </w:r>
    </w:p>
    <w:p>
      <w:pPr>
        <w:spacing w:after="120"/>
      </w:pPr>
      <w:r>
        <w:rPr>
          <w:rFonts w:ascii="Arial" w:cs="Arial" w:eastAsia="Arial" w:hAnsi="Arial"/>
          <w:sz w:val="22"/>
          <w:szCs w:val="22"/>
        </w:rPr>
        <w:t xml:space="preserve">From the prospectus summary: "We expect to begin deploying our orbital AI compute satellites as early as 2028." That's the first time we've had an official anchor on this timeline.</w:t>
      </w:r>
    </w:p>
    <w:p>
      <w:pPr>
        <w:spacing w:after="120"/>
      </w:pPr>
      <w:r>
        <w:rPr>
          <w:rFonts w:ascii="Arial" w:cs="Arial" w:eastAsia="Arial" w:hAnsi="Arial"/>
          <w:sz w:val="22"/>
          <w:szCs w:val="22"/>
        </w:rPr>
        <w:t xml:space="preserve">Our ODC tab (Sprint 5) is cash-driven — deployment fleet is zero in 2025 and waits for the allocator to release capital. We should soft-anchor the ODC first-deployment year to 2028 in the next sprint refresh to make sure the IRR queue is releasing ODC capital starting in 2027 (one year ahead for build).</w:t>
      </w:r>
    </w:p>
    <w:p>
      <w:pPr>
        <w:pStyle w:val="Heading2"/>
        <w:spacing w:after="120" w:before="240"/>
      </w:pPr>
      <w:r>
        <w:rPr>
          <w:rFonts w:ascii="Arial" w:cs="Arial" w:eastAsia="Arial" w:hAnsi="Arial"/>
          <w:b/>
          <w:bCs/>
          <w:color w:val="1F2937"/>
          <w:sz w:val="26"/>
          <w:szCs w:val="26"/>
        </w:rPr>
        <w:t xml:space="preserve">5.3 EchoStar spectrum acquisition — material new CapEx</w:t>
      </w:r>
    </w:p>
    <w:p>
      <w:pPr>
        <w:spacing w:after="120"/>
      </w:pPr>
      <w:r>
        <w:rPr>
          <w:rFonts w:ascii="Arial" w:cs="Arial" w:eastAsia="Arial" w:hAnsi="Arial"/>
          <w:sz w:val="22"/>
          <w:szCs w:val="22"/>
        </w:rPr>
        <w:t xml:space="preserve">This is a fresh disclosure and not yet in our model. SpaceX is acquiring 65 MHz of US spectrum plus global Mobile Satellite Service licenses from EchoStar for $19.6B in equity and cash consideration. Expected close: November 2027.</w:t>
      </w:r>
    </w:p>
    <w:p>
      <w:pPr>
        <w:spacing w:after="120"/>
      </w:pPr>
      <w:r>
        <w:rPr>
          <w:rFonts w:ascii="Arial" w:cs="Arial" w:eastAsia="Arial" w:hAnsi="Arial"/>
          <w:sz w:val="22"/>
          <w:szCs w:val="22"/>
        </w:rPr>
        <w:t xml:space="preserve">Implications for the model:</w:t>
      </w:r>
    </w:p>
    <w:p>
      <w:pPr>
        <w:pStyle w:val="ListParagraph"/>
        <w:numPr>
          <w:ilvl w:val="0"/>
          <w:numId w:val="2"/>
        </w:numPr>
        <w:spacing w:after="80"/>
      </w:pPr>
      <w:r>
        <w:rPr>
          <w:rFonts w:ascii="Arial" w:cs="Arial" w:eastAsia="Arial" w:hAnsi="Arial"/>
          <w:sz w:val="22"/>
          <w:szCs w:val="22"/>
        </w:rPr>
        <w:t xml:space="preserve">New CapEx line in 2027 for $19.6B, with spectrum amortisation feeding Connectivity COGS thereafter</w:t>
      </w:r>
    </w:p>
    <w:p>
      <w:pPr>
        <w:pStyle w:val="ListParagraph"/>
        <w:numPr>
          <w:ilvl w:val="0"/>
          <w:numId w:val="2"/>
        </w:numPr>
        <w:spacing w:after="80"/>
      </w:pPr>
      <w:r>
        <w:rPr>
          <w:rFonts w:ascii="Arial" w:cs="Arial" w:eastAsia="Arial" w:hAnsi="Arial"/>
          <w:sz w:val="22"/>
          <w:szCs w:val="22"/>
        </w:rPr>
        <w:t xml:space="preserve">Enables 5G/broadband data on Mobile — meaning Mobile/DTC ARPU upside relative to current $/text/voice</w:t>
      </w:r>
    </w:p>
    <w:p>
      <w:pPr>
        <w:pStyle w:val="ListParagraph"/>
        <w:numPr>
          <w:ilvl w:val="0"/>
          <w:numId w:val="2"/>
        </w:numPr>
        <w:spacing w:after="80"/>
      </w:pPr>
      <w:r>
        <w:rPr>
          <w:rFonts w:ascii="Arial" w:cs="Arial" w:eastAsia="Arial" w:hAnsi="Arial"/>
          <w:sz w:val="22"/>
          <w:szCs w:val="22"/>
        </w:rPr>
        <w:t xml:space="preserve">Combined with the existing 7,500-satellite authorisation in the 2GHz band, gives SpaceX a real path to compete with terrestrial wireless</w:t>
      </w:r>
    </w:p>
    <w:p>
      <w:pPr>
        <w:pStyle w:val="Heading2"/>
        <w:spacing w:after="120" w:before="240"/>
      </w:pPr>
      <w:r>
        <w:rPr>
          <w:rFonts w:ascii="Arial" w:cs="Arial" w:eastAsia="Arial" w:hAnsi="Arial"/>
          <w:b/>
          <w:bCs/>
          <w:color w:val="1F2937"/>
          <w:sz w:val="26"/>
          <w:szCs w:val="26"/>
        </w:rPr>
        <w:t xml:space="preserve">5.4 The xAI / X consolidation</w:t>
      </w:r>
    </w:p>
    <w:p>
      <w:pPr>
        <w:spacing w:after="120"/>
      </w:pPr>
      <w:r>
        <w:rPr>
          <w:rFonts w:ascii="Arial" w:cs="Arial" w:eastAsia="Arial" w:hAnsi="Arial"/>
          <w:sz w:val="22"/>
          <w:szCs w:val="22"/>
        </w:rPr>
        <w:t xml:space="preserve">Worth understanding this one for Q&amp;A. SpaceX acquired xAI effective February 2, 2026; xAI itself had acquired X Holdings on March 28, 2025. Because these were all transactions between entities under common control (both Musk-controlled), accounting rules require the financial statements to be retrospectively recast across all periods presented.</w:t>
      </w:r>
    </w:p>
    <w:p>
      <w:pPr>
        <w:spacing w:after="120"/>
      </w:pPr>
      <w:r>
        <w:rPr>
          <w:rFonts w:ascii="Arial" w:cs="Arial" w:eastAsia="Arial" w:hAnsi="Arial"/>
          <w:sz w:val="22"/>
          <w:szCs w:val="22"/>
        </w:rPr>
        <w:t xml:space="preserve">So when you see headline 2023 revenue of $10.4B for SpaceX, that includes Twitter/X revenue going back to 2023, even though SpaceX didn't formally own xAI until February 2026 and xAI didn't own X until March 2025. The Space + Connectivity segment numbers are clean — those are the SpaceX-standalone story.</w:t>
      </w:r>
    </w:p>
    <w:p>
      <w:pPr>
        <w:spacing w:after="120"/>
      </w:pPr>
      <w:r>
        <w:rPr>
          <w:rFonts w:ascii="Arial" w:cs="Arial" w:eastAsia="Arial" w:hAnsi="Arial"/>
          <w:sz w:val="22"/>
          <w:szCs w:val="22"/>
        </w:rPr>
        <w:t xml:space="preserve">From a modelling standpoint, this raises an architectural question: do we keep our model focused on SpaceX-standalone (Space + Connectivity, with ODC as the in-flight new module) and treat AI/xAI as a separate model? Or do we add an AI Stack module that captures the consolidated entity? The Sprint 6 AI Stack work is the place to resolve this. The S-1 nudges us toward the consolidated framing because that's how SpaceX will report going forward.</w:t>
      </w:r>
    </w:p>
    <w:p>
      <w:pPr>
        <w:pStyle w:val="Heading2"/>
        <w:spacing w:after="120" w:before="240"/>
      </w:pPr>
      <w:r>
        <w:rPr>
          <w:rFonts w:ascii="Arial" w:cs="Arial" w:eastAsia="Arial" w:hAnsi="Arial"/>
          <w:b/>
          <w:bCs/>
          <w:color w:val="1F2937"/>
          <w:sz w:val="26"/>
          <w:szCs w:val="26"/>
        </w:rPr>
        <w:t xml:space="preserve">5.5 Customer concentration and the US government story</w:t>
      </w:r>
    </w:p>
    <w:p>
      <w:pPr>
        <w:spacing w:after="120"/>
      </w:pPr>
      <w:r>
        <w:rPr>
          <w:rFonts w:ascii="Arial" w:cs="Arial" w:eastAsia="Arial" w:hAnsi="Arial"/>
          <w:sz w:val="22"/>
          <w:szCs w:val="22"/>
        </w:rPr>
        <w:t xml:space="preserve">Customer A — almost certainly the US Government (NASA + DoW combined) — accounted for 20.9% of consolidated revenue in 2025, down from 25.2% in 2023. That's a $3.9B customer. The diversification trend is favourable, but it's still concentration risk worth flagging.</w:t>
      </w:r>
    </w:p>
    <w:p>
      <w:pPr>
        <w:spacing w:after="120"/>
      </w:pPr>
      <w:r>
        <w:rPr>
          <w:rFonts w:ascii="Arial" w:cs="Arial" w:eastAsia="Arial" w:hAnsi="Arial"/>
          <w:sz w:val="22"/>
          <w:szCs w:val="22"/>
        </w:rPr>
        <w:t xml:space="preserve">Trade-off for the model: customer-launch revenue diversification is improving (commercial launch services growing faster than government), but Starshield concentration in the government bucket is structural and probably won't decline meaningfully.</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6. Model refresh punch list</w:t>
      </w:r>
    </w:p>
    <w:p>
      <w:pPr>
        <w:spacing w:after="120"/>
      </w:pPr>
      <w:r>
        <w:rPr>
          <w:rFonts w:ascii="Arial" w:cs="Arial" w:eastAsia="Arial" w:hAnsi="Arial"/>
          <w:sz w:val="22"/>
          <w:szCs w:val="22"/>
        </w:rPr>
        <w:t xml:space="preserve">If we were running a Sprint 4.5 / refresh sprint off the S-1, here's what changes:</w:t>
      </w:r>
    </w:p>
    <w:p>
      <w:pPr>
        <w:pStyle w:val="Heading3"/>
        <w:spacing w:after="80" w:before="180"/>
      </w:pPr>
      <w:r>
        <w:rPr>
          <w:rFonts w:ascii="Arial" w:cs="Arial" w:eastAsia="Arial" w:hAnsi="Arial"/>
          <w:b/>
          <w:bCs/>
          <w:color w:val="374151"/>
          <w:sz w:val="22"/>
          <w:szCs w:val="22"/>
        </w:rPr>
        <w:t xml:space="preserve">Inputs to update</w:t>
      </w:r>
    </w:p>
    <w:p>
      <w:pPr>
        <w:pStyle w:val="ListParagraph"/>
        <w:numPr>
          <w:ilvl w:val="0"/>
          <w:numId w:val="2"/>
        </w:numPr>
        <w:spacing w:after="80"/>
      </w:pPr>
      <w:r>
        <w:rPr>
          <w:rFonts w:ascii="Arial" w:cs="Arial" w:eastAsia="Arial" w:hAnsi="Arial"/>
          <w:sz w:val="22"/>
          <w:szCs w:val="22"/>
        </w:rPr>
        <w:t xml:space="preserve">Starlink Subscribers 2025 anchor: 6.41M → 8.9M</w:t>
      </w:r>
    </w:p>
    <w:p>
      <w:pPr>
        <w:pStyle w:val="ListParagraph"/>
        <w:numPr>
          <w:ilvl w:val="0"/>
          <w:numId w:val="2"/>
        </w:numPr>
        <w:spacing w:after="80"/>
      </w:pPr>
      <w:r>
        <w:rPr>
          <w:rFonts w:ascii="Arial" w:cs="Arial" w:eastAsia="Arial" w:hAnsi="Arial"/>
          <w:sz w:val="22"/>
          <w:szCs w:val="22"/>
        </w:rPr>
        <w:t xml:space="preserve">Starlink ARPU 2025 anchor: ~$100/month → $81/month; add downward glide path to $55-65 by 2030</w:t>
      </w:r>
    </w:p>
    <w:p>
      <w:pPr>
        <w:pStyle w:val="ListParagraph"/>
        <w:numPr>
          <w:ilvl w:val="0"/>
          <w:numId w:val="2"/>
        </w:numPr>
        <w:spacing w:after="80"/>
      </w:pPr>
      <w:r>
        <w:rPr>
          <w:rFonts w:ascii="Arial" w:cs="Arial" w:eastAsia="Arial" w:hAnsi="Arial"/>
          <w:sz w:val="22"/>
          <w:szCs w:val="22"/>
        </w:rPr>
        <w:t xml:space="preserve">Starship R&amp;D 2025: confirm against $3,004M actual; lift 2026 R&amp;D to reflect accelerated cadence</w:t>
      </w:r>
    </w:p>
    <w:p>
      <w:pPr>
        <w:pStyle w:val="ListParagraph"/>
        <w:numPr>
          <w:ilvl w:val="0"/>
          <w:numId w:val="2"/>
        </w:numPr>
        <w:spacing w:after="80"/>
      </w:pPr>
      <w:r>
        <w:rPr>
          <w:rFonts w:ascii="Arial" w:cs="Arial" w:eastAsia="Arial" w:hAnsi="Arial"/>
          <w:sz w:val="22"/>
          <w:szCs w:val="22"/>
        </w:rPr>
        <w:t xml:space="preserve">Cash position EoY 2024: clean up $5,000M anchor → $11,385M (or document the definitional carve-out)</w:t>
      </w:r>
    </w:p>
    <w:p>
      <w:pPr>
        <w:pStyle w:val="ListParagraph"/>
        <w:numPr>
          <w:ilvl w:val="0"/>
          <w:numId w:val="2"/>
        </w:numPr>
        <w:spacing w:after="80"/>
      </w:pPr>
      <w:r>
        <w:rPr>
          <w:rFonts w:ascii="Arial" w:cs="Arial" w:eastAsia="Arial" w:hAnsi="Arial"/>
          <w:sz w:val="22"/>
          <w:szCs w:val="22"/>
        </w:rPr>
        <w:t xml:space="preserve">Space CapEx 2025: confirm against $3,832M actual</w:t>
      </w:r>
    </w:p>
    <w:p>
      <w:pPr>
        <w:pStyle w:val="ListParagraph"/>
        <w:numPr>
          <w:ilvl w:val="0"/>
          <w:numId w:val="2"/>
        </w:numPr>
        <w:spacing w:after="80"/>
      </w:pPr>
      <w:r>
        <w:rPr>
          <w:rFonts w:ascii="Arial" w:cs="Arial" w:eastAsia="Arial" w:hAnsi="Arial"/>
          <w:sz w:val="22"/>
          <w:szCs w:val="22"/>
        </w:rPr>
        <w:t xml:space="preserve">Connectivity CapEx 2025: confirm against $4,178M actual</w:t>
      </w:r>
    </w:p>
    <w:p>
      <w:pPr>
        <w:pStyle w:val="Heading3"/>
        <w:spacing w:after="80" w:before="180"/>
      </w:pPr>
      <w:r>
        <w:rPr>
          <w:rFonts w:ascii="Arial" w:cs="Arial" w:eastAsia="Arial" w:hAnsi="Arial"/>
          <w:b/>
          <w:bCs/>
          <w:color w:val="374151"/>
          <w:sz w:val="22"/>
          <w:szCs w:val="22"/>
        </w:rPr>
        <w:t xml:space="preserve">New items to add</w:t>
      </w:r>
    </w:p>
    <w:p>
      <w:pPr>
        <w:pStyle w:val="ListParagraph"/>
        <w:numPr>
          <w:ilvl w:val="0"/>
          <w:numId w:val="2"/>
        </w:numPr>
        <w:spacing w:after="80"/>
      </w:pPr>
      <w:r>
        <w:rPr>
          <w:rFonts w:ascii="Arial" w:cs="Arial" w:eastAsia="Arial" w:hAnsi="Arial"/>
          <w:sz w:val="22"/>
          <w:szCs w:val="22"/>
        </w:rPr>
        <w:t xml:space="preserve">EchoStar spectrum: $19.6B CapEx line in 2027, with amortisation feeding Connectivity COGS</w:t>
      </w:r>
    </w:p>
    <w:p>
      <w:pPr>
        <w:pStyle w:val="ListParagraph"/>
        <w:numPr>
          <w:ilvl w:val="0"/>
          <w:numId w:val="2"/>
        </w:numPr>
        <w:spacing w:after="80"/>
      </w:pPr>
      <w:r>
        <w:rPr>
          <w:rFonts w:ascii="Arial" w:cs="Arial" w:eastAsia="Arial" w:hAnsi="Arial"/>
          <w:sz w:val="22"/>
          <w:szCs w:val="22"/>
        </w:rPr>
        <w:t xml:space="preserve">Mobile revenue stream: break out separately from Starlink consumer BB; $632M of growth in 2025 is large enough to warrant its own line</w:t>
      </w:r>
    </w:p>
    <w:p>
      <w:pPr>
        <w:pStyle w:val="ListParagraph"/>
        <w:numPr>
          <w:ilvl w:val="0"/>
          <w:numId w:val="2"/>
        </w:numPr>
        <w:spacing w:after="80"/>
      </w:pPr>
      <w:r>
        <w:rPr>
          <w:rFonts w:ascii="Arial" w:cs="Arial" w:eastAsia="Arial" w:hAnsi="Arial"/>
          <w:sz w:val="22"/>
          <w:szCs w:val="22"/>
        </w:rPr>
        <w:t xml:space="preserve">ODC first deployment: soft-anchor to 2028 in allocator capital release logic</w:t>
      </w:r>
    </w:p>
    <w:p>
      <w:pPr>
        <w:pStyle w:val="ListParagraph"/>
        <w:numPr>
          <w:ilvl w:val="0"/>
          <w:numId w:val="2"/>
        </w:numPr>
        <w:spacing w:after="80"/>
      </w:pPr>
      <w:r>
        <w:rPr>
          <w:rFonts w:ascii="Arial" w:cs="Arial" w:eastAsia="Arial" w:hAnsi="Arial"/>
          <w:sz w:val="22"/>
          <w:szCs w:val="22"/>
        </w:rPr>
        <w:t xml:space="preserve">Customer A (US Gov) concentration: scenario sensitivity input, MC-variable</w:t>
      </w:r>
    </w:p>
    <w:p>
      <w:pPr>
        <w:pStyle w:val="Heading3"/>
        <w:spacing w:after="80" w:before="180"/>
      </w:pPr>
      <w:r>
        <w:rPr>
          <w:rFonts w:ascii="Arial" w:cs="Arial" w:eastAsia="Arial" w:hAnsi="Arial"/>
          <w:b/>
          <w:bCs/>
          <w:color w:val="374151"/>
          <w:sz w:val="22"/>
          <w:szCs w:val="22"/>
        </w:rPr>
        <w:t xml:space="preserve">Open architectural question</w:t>
      </w:r>
    </w:p>
    <w:p>
      <w:pPr>
        <w:pStyle w:val="ListParagraph"/>
        <w:numPr>
          <w:ilvl w:val="0"/>
          <w:numId w:val="2"/>
        </w:numPr>
        <w:spacing w:after="80"/>
      </w:pPr>
      <w:r>
        <w:rPr>
          <w:rFonts w:ascii="Arial" w:cs="Arial" w:eastAsia="Arial" w:hAnsi="Arial"/>
          <w:sz w:val="22"/>
          <w:szCs w:val="22"/>
        </w:rPr>
        <w:t xml:space="preserve">Treatment of xAI/X (AI segment) going forward — keep standalone-SpaceX framing or build AI Stack module to ingest consolidated reporting</w:t>
      </w:r>
    </w:p>
    <w:p>
      <w:pPr>
        <w:pBdr>
          <w:bottom w:val="single" w:color="CBD5E1" w:sz="6" w:space="1"/>
        </w:pBdr>
        <w:spacing w:after="120" w:before="120"/>
      </w:pPr>
      <w:r>
        <w:rPr>
          <w:rFonts w:ascii="Arial" w:cs="Arial" w:eastAsia="Arial" w:hAnsi="Arial"/>
        </w:rPr>
        <w:t xml:space="preserve"/>
      </w:r>
    </w:p>
    <w:p>
      <w:pPr>
        <w:pStyle w:val="Heading1"/>
        <w:spacing w:after="180" w:before="360"/>
      </w:pPr>
      <w:r>
        <w:rPr>
          <w:rFonts w:ascii="Arial" w:cs="Arial" w:eastAsia="Arial" w:hAnsi="Arial"/>
          <w:b/>
          <w:bCs/>
          <w:color w:val="1F2937"/>
          <w:sz w:val="32"/>
          <w:szCs w:val="32"/>
        </w:rPr>
        <w:t xml:space="preserve">Appendix: S-1 source references</w:t>
      </w:r>
    </w:p>
    <w:p>
      <w:pPr>
        <w:spacing w:after="120"/>
      </w:pPr>
      <w:r>
        <w:rPr>
          <w:rFonts w:ascii="Arial" w:cs="Arial" w:eastAsia="Arial" w:hAnsi="Arial"/>
          <w:sz w:val="22"/>
          <w:szCs w:val="22"/>
        </w:rPr>
        <w:t xml:space="preserve">All figures cited above with prospectus page references. The full audit table is in the companion variance spreadsheet.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120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Page(s)</w:t>
            </w:r>
          </w:p>
        </w:tc>
        <w:tc>
          <w:tcPr>
            <w:tcW w:type="dxa" w:w="4960"/>
            <w:tcBorders>
              <w:top w:val="single" w:color="1F2937" w:sz="4"/>
              <w:left w:val="single" w:color="94A3B8" w:sz="4"/>
              <w:bottom w:val="single" w:color="1F2937" w:sz="4"/>
              <w:right w:val="single" w:color="94A3B8" w:sz="4"/>
            </w:tcBorders>
            <w:shd w:fill="1F293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for</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Prospectus Summary — Operating data</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3-5</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Cumulative mass, active sats, subscribers</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Summary Financial Data — Statements of Operations</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21</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Consolidated revenue, costs, loss from ops</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Summary Financial Data — Segment Operating data</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22-23</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Segment revenue, Adj EBITDA, sats, ARPU, launches</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MD&amp;A — Key Business Metrics</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85-89</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Falcon launch customer/internal split; ARPU detail</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MD&amp;A — Drivers of Performance</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92-94</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Starship, V3, EchoStar disclosure</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Business — Starlink Connectivity</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81-83</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Consumer/Enterprise/Gov/Mobile breakdowns</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Note 3 — Revenue (financial statements)</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247</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Revenue disaggregation; backlog; Customer A</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Note 5 — Property, Plant &amp; Equipment</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248-249</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PP&amp;E by class; depreciation; satellite gross value</w:t>
            </w:r>
          </w:p>
        </w:tc>
      </w:tr>
      <w:tr>
        <w:tc>
          <w:tcPr>
            <w:tcW w:type="dxa" w:w="3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Segment results — Space, Connectivity, AI</w:t>
            </w:r>
          </w:p>
        </w:tc>
        <w:tc>
          <w:tcPr>
            <w:tcW w:type="dxa" w:w="120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103-111</w:t>
            </w:r>
          </w:p>
        </w:tc>
        <w:tc>
          <w:tcPr>
            <w:tcW w:type="dxa" w:w="4960"/>
            <w:tcBorders>
              <w:top w:val="single" w:color="94A3B8" w:sz="4"/>
              <w:left w:val="single" w:color="94A3B8" w:sz="4"/>
              <w:bottom w:val="single" w:color="94A3B8" w:sz="4"/>
              <w:right w:val="single" w:color="94A3B8" w:sz="4"/>
            </w:tcBorders>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Segment P&amp;L breakdowns with YoY drivers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SpaceX S-1 vs Mach33 Model — Webinar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2026-05-21T13:34:01.142Z</dcterms:created>
  <dcterms:modified xsi:type="dcterms:W3CDTF">2026-05-21T13:34:01.142Z</dcterms:modified>
</cp:coreProperties>
</file>

<file path=docProps/custom.xml><?xml version="1.0" encoding="utf-8"?>
<Properties xmlns="http://schemas.openxmlformats.org/officeDocument/2006/custom-properties" xmlns:vt="http://schemas.openxmlformats.org/officeDocument/2006/docPropsVTypes"/>
</file>