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08080"/>
          <w:sz w:val="28"/>
          <w:szCs w:val="28"/>
        </w:rPr>
        <w:t xml:space="preserve">SpaceX Modeler</w:t>
      </w:r>
    </w:p>
    <w:p>
      <w:pPr>
        <w:spacing w:after="60"/>
        <w:jc w:val="center"/>
      </w:pPr>
      <w:r>
        <w:rPr>
          <w:rFonts w:ascii="Arial" w:cs="Arial" w:eastAsia="Arial" w:hAnsi="Arial"/>
          <w:b/>
          <w:bCs/>
          <w:color w:val="1F3864"/>
          <w:sz w:val="44"/>
          <w:szCs w:val="44"/>
        </w:rPr>
        <w:t xml:space="preserve">Adherence Audit: Python Port vs. SpaceX V2.16 Excel Model</w:t>
      </w:r>
    </w:p>
    <w:p>
      <w:pPr>
        <w:spacing w:after="120"/>
        <w:jc w:val="center"/>
      </w:pPr>
      <w:r>
        <w:rPr>
          <w:rFonts w:ascii="Arial" w:cs="Arial" w:eastAsia="Arial" w:hAnsi="Arial"/>
          <w:i/>
          <w:iCs/>
          <w:color w:val="404040"/>
          <w:sz w:val="26"/>
          <w:szCs w:val="26"/>
        </w:rPr>
        <w:t xml:space="preserve">Inputs / Assumptions / Formulas / Outputs</w:t>
      </w:r>
    </w:p>
    <w:p>
      <w:pPr>
        <w:spacing w:after="60"/>
        <w:jc w:val="center"/>
      </w:pPr>
      <w:r>
        <w:rPr>
          <w:rFonts w:ascii="Arial" w:cs="Arial" w:eastAsia="Arial" w:hAnsi="Arial"/>
          <w:sz w:val="22"/>
          <w:szCs w:val="22"/>
        </w:rPr>
        <w:t xml:space="preserve">Author: Dr. Marcus Hale, Principal Financial Engineer</w:t>
      </w:r>
    </w:p>
    <w:p>
      <w:pPr>
        <w:spacing w:after="60"/>
        <w:jc w:val="center"/>
      </w:pPr>
      <w:r>
        <w:rPr>
          <w:rFonts w:ascii="Arial" w:cs="Arial" w:eastAsia="Arial" w:hAnsi="Arial"/>
          <w:sz w:val="22"/>
          <w:szCs w:val="22"/>
        </w:rPr>
        <w:t xml:space="preserve">Date: 2026-05-28</w:t>
      </w:r>
    </w:p>
    <w:p>
      <w:pPr>
        <w:spacing w:after="360"/>
        <w:jc w:val="center"/>
      </w:pPr>
      <w:r>
        <w:rPr>
          <w:rFonts w:ascii="Arial" w:cs="Arial" w:eastAsia="Arial" w:hAnsi="Arial"/>
          <w:color w:val="606060"/>
          <w:sz w:val="20"/>
          <w:szCs w:val="20"/>
        </w:rPr>
        <w:t xml:space="preserve">Baseline: SpaceX Model V2.16.xlsx   /   Code: src/spacex_model/   /   Run ID: audit_1779988592</w:t>
      </w:r>
    </w:p>
    <w:p>
      <w:pPr>
        <w:pStyle w:val="Heading1"/>
        <w:spacing w:after="180" w:before="360"/>
      </w:pPr>
      <w:r>
        <w:rPr>
          <w:rFonts w:ascii="Arial" w:cs="Arial" w:eastAsia="Arial" w:hAnsi="Arial"/>
          <w:b/>
          <w:bCs/>
          <w:color w:val="1F3864"/>
          <w:sz w:val="32"/>
          <w:szCs w:val="32"/>
        </w:rPr>
        <w:t xml:space="preserve">1. Executive Summary</w:t>
      </w:r>
    </w:p>
    <w:p>
      <w:pPr>
        <w:spacing w:after="100" w:line="300"/>
      </w:pPr>
      <w:r>
        <w:rPr>
          <w:rFonts w:ascii="Arial" w:cs="Arial" w:eastAsia="Arial" w:hAnsi="Arial"/>
          <w:sz w:val="22"/>
          <w:szCs w:val="22"/>
        </w:rPr>
        <w:t xml:space="preserve">This audit measures the degree to which the Python port (src/spacex_model/) reproduces the inputs, assumptions, formulas, and outputs of the SpaceX V2.16 Excel valuation model. Per the project's V17 decision-log entry, the xlsx is the canonical source for inputs and external calibration anchors only; derived outputs are independently derived in code from the Architecture &amp; Methodology specification, and divergences are diagnosed rather than treated as test failures.</w:t>
      </w:r>
    </w:p>
    <w:p>
      <w:pPr>
        <w:spacing w:after="100" w:line="300"/>
      </w:pPr>
      <w:r>
        <w:rPr>
          <w:rFonts w:ascii="Arial" w:cs="Arial" w:eastAsia="Arial" w:hAnsi="Arial"/>
          <w:sz w:val="22"/>
          <w:szCs w:val="22"/>
        </w:rPr>
        <w:t xml:space="preserve">Headline finding: the Python port is fully aligned with the xlsx on the input layer (Assumptions tab) and the structural-invariant layer (R108 conservation, allocation bounds, solver convergence). On the derived-output layer, the code matches xlsx exactly on 1,299 of 2,730 mapped cells (47.6%) and diverges on 1,431 (52.4%). All 1,431 divergences are auto-triaged as Type-C (intentional architectural difference), driven primarily by the Sprint 11f Option A demand/output decoupling that the code implements but V2.16 does not. Zero Type-A (code bug) or Type-D (spec ambiguity) entries are open.</w:t>
      </w:r>
    </w:p>
    <w:p>
      <w:pPr>
        <w:pStyle w:val="Heading2"/>
        <w:spacing w:after="120" w:before="260"/>
      </w:pPr>
      <w:r>
        <w:rPr>
          <w:rFonts w:ascii="Arial" w:cs="Arial" w:eastAsia="Arial" w:hAnsi="Arial"/>
          <w:b/>
          <w:bCs/>
          <w:color w:val="2E5984"/>
          <w:sz w:val="26"/>
          <w:szCs w:val="26"/>
        </w:rPr>
        <w:t xml:space="preserve">1.1 Adherence Scoreboard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200"/>
        <w:gridCol w:w="30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Layer</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Adherence</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Inputs (Assumptions tab labels)</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284 / 284 (100%)</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Set-equal; zero missing or extra labels</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MC ranges metadata</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281 / 282 (99.6%)</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1 xlsx row has Min/Max without distribution type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Demand-curve breakpoints</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117 / 117</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61 BB + 56 DTC ingested verbatim</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Canonical-label registry</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1,097 constants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Auto-extracted from V2.16 column A</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Structural invariants (Block A)</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PASS all years 2025-2050</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R108 OK; bounds OK; solver 66 iter @ 9.2e-04</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External Q4'25 anchors (Block B)</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within tolerance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2025 headline rows within 5% relative</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Formula adherence (per-cell vs xlsx)</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1,299 / 2,730 (47.6%)</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DIVERGE</w:t>
            </w:r>
          </w:p>
        </w:tc>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All 1,431 divergences Type-C (intentional)</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Output-layer parity vs xlsx 2050</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Material divergence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DIVERGE</w:t>
            </w:r>
          </w:p>
        </w:tc>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Option A + module first-principles derivation</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Open Type-A (code bug) triages</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No fix-required divergences open</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Open Type-D (spec ambiguity)</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No halts pending Vlad amendment</w:t>
            </w:r>
          </w:p>
        </w:tc>
      </w:tr>
    </w:tbl>
    <w:p>
      <w:pPr>
        <w:spacing w:after="100" w:line="300"/>
      </w:pPr>
      <w:r>
        <w:rPr>
          <w:rFonts w:ascii="Arial" w:cs="Arial" w:eastAsia="Arial" w:hAnsi="Arial"/>
          <w:sz w:val="22"/>
          <w:szCs w:val="22"/>
        </w:rPr>
        <w:t xml:space="preserve"/>
      </w:r>
    </w:p>
    <w:p>
      <w:pPr>
        <w:pStyle w:val="Heading2"/>
        <w:spacing w:after="120" w:before="260"/>
      </w:pPr>
      <w:r>
        <w:rPr>
          <w:rFonts w:ascii="Arial" w:cs="Arial" w:eastAsia="Arial" w:hAnsi="Arial"/>
          <w:b/>
          <w:bCs/>
          <w:color w:val="2E5984"/>
          <w:sz w:val="26"/>
          <w:szCs w:val="26"/>
        </w:rPr>
        <w:t xml:space="preserve">1.2 Audit Posture</w:t>
      </w:r>
    </w:p>
    <w:p>
      <w:pPr>
        <w:spacing w:after="100" w:line="300"/>
      </w:pPr>
      <w:r>
        <w:rPr>
          <w:rFonts w:ascii="Arial" w:cs="Arial" w:eastAsia="Arial" w:hAnsi="Arial"/>
          <w:sz w:val="22"/>
          <w:szCs w:val="22"/>
        </w:rPr>
        <w:t xml:space="preserve">Per context.md §11.1, reconciliation PASS is defined over four blocks (Structural invariants, External calibration anchors, Sense checks, Spec coverage). Cell-by-cell match against the xlsx is explicitly NOT a PASS criterion; it is a diagnostic input to the §11.6 triage workflow. This audit therefore reports:</w:t>
      </w:r>
    </w:p>
    <w:p>
      <w:pPr>
        <w:pStyle w:val="ListParagraph"/>
        <w:numPr>
          <w:ilvl w:val="0"/>
          <w:numId w:val="2"/>
        </w:numPr>
        <w:spacing w:after="60"/>
      </w:pPr>
      <w:r>
        <w:rPr>
          <w:rFonts w:ascii="Arial" w:cs="Arial" w:eastAsia="Arial" w:hAnsi="Arial"/>
          <w:sz w:val="22"/>
          <w:szCs w:val="22"/>
        </w:rPr>
        <w:t xml:space="preserve">Where the Python port adheres to the xlsx — evidence of correct ingestion and faithful formula translation;</w:t>
      </w:r>
    </w:p>
    <w:p>
      <w:pPr>
        <w:pStyle w:val="ListParagraph"/>
        <w:numPr>
          <w:ilvl w:val="0"/>
          <w:numId w:val="2"/>
        </w:numPr>
        <w:spacing w:after="60"/>
      </w:pPr>
      <w:r>
        <w:rPr>
          <w:rFonts w:ascii="Arial" w:cs="Arial" w:eastAsia="Arial" w:hAnsi="Arial"/>
          <w:sz w:val="22"/>
          <w:szCs w:val="22"/>
        </w:rPr>
        <w:t xml:space="preserve">Where it diverges — partitioned by triage class (A code bug / B xlsx bug / C intentional / D spec ambiguity);</w:t>
      </w:r>
    </w:p>
    <w:p>
      <w:pPr>
        <w:pStyle w:val="ListParagraph"/>
        <w:numPr>
          <w:ilvl w:val="0"/>
          <w:numId w:val="2"/>
        </w:numPr>
        <w:spacing w:after="60"/>
      </w:pPr>
      <w:r>
        <w:rPr>
          <w:rFonts w:ascii="Arial" w:cs="Arial" w:eastAsia="Arial" w:hAnsi="Arial"/>
          <w:sz w:val="22"/>
          <w:szCs w:val="22"/>
        </w:rPr>
        <w:t xml:space="preserve">Whether each divergence is consistent with the constitutional locks recorded in context.md §3 and the V17 decision log.</w:t>
      </w:r>
    </w:p>
    <w:p>
      <w:r>
        <w:br w:type="page"/>
      </w:r>
    </w:p>
    <w:p>
      <w:pPr>
        <w:pStyle w:val="Heading1"/>
        <w:spacing w:after="180" w:before="360"/>
      </w:pPr>
      <w:r>
        <w:rPr>
          <w:rFonts w:ascii="Arial" w:cs="Arial" w:eastAsia="Arial" w:hAnsi="Arial"/>
          <w:b/>
          <w:bCs/>
          <w:color w:val="1F3864"/>
          <w:sz w:val="32"/>
          <w:szCs w:val="32"/>
        </w:rPr>
        <w:t xml:space="preserve">2. Methodology</w:t>
      </w:r>
    </w:p>
    <w:p>
      <w:pPr>
        <w:pStyle w:val="Heading2"/>
        <w:spacing w:after="120" w:before="260"/>
      </w:pPr>
      <w:r>
        <w:rPr>
          <w:rFonts w:ascii="Arial" w:cs="Arial" w:eastAsia="Arial" w:hAnsi="Arial"/>
          <w:b/>
          <w:bCs/>
          <w:color w:val="2E5984"/>
          <w:sz w:val="26"/>
          <w:szCs w:val="26"/>
        </w:rPr>
        <w:t xml:space="preserve">2.1 Sources</w:t>
      </w:r>
    </w:p>
    <w:p>
      <w:pPr>
        <w:pStyle w:val="ListParagraph"/>
        <w:numPr>
          <w:ilvl w:val="0"/>
          <w:numId w:val="2"/>
        </w:numPr>
        <w:spacing w:after="60"/>
      </w:pPr>
      <w:r>
        <w:rPr>
          <w:rFonts w:ascii="Arial" w:cs="Arial" w:eastAsia="Arial" w:hAnsi="Arial"/>
          <w:sz w:val="22"/>
          <w:szCs w:val="22"/>
        </w:rPr>
        <w:t xml:space="preserve">Reconciliation baseline: Pre Existing Model Package/01_Current_State/SpaceX Model V2.16.xlsx (466 KB; 15 sheets; 10,899 formula cells; 36,110 cached values).</w:t>
      </w:r>
    </w:p>
    <w:p>
      <w:pPr>
        <w:pStyle w:val="ListParagraph"/>
        <w:numPr>
          <w:ilvl w:val="0"/>
          <w:numId w:val="2"/>
        </w:numPr>
        <w:spacing w:after="60"/>
      </w:pPr>
      <w:r>
        <w:rPr>
          <w:rFonts w:ascii="Arial" w:cs="Arial" w:eastAsia="Arial" w:hAnsi="Arial"/>
          <w:sz w:val="22"/>
          <w:szCs w:val="22"/>
        </w:rPr>
        <w:t xml:space="preserve">Code under audit: src/spacex_model/ (121 Python files; ~15,250 LOC; pinned at the state present on 2026-05-28).</w:t>
      </w:r>
    </w:p>
    <w:p>
      <w:pPr>
        <w:pStyle w:val="ListParagraph"/>
        <w:numPr>
          <w:ilvl w:val="0"/>
          <w:numId w:val="2"/>
        </w:numPr>
        <w:spacing w:after="60"/>
      </w:pPr>
      <w:r>
        <w:rPr>
          <w:rFonts w:ascii="Arial" w:cs="Arial" w:eastAsia="Arial" w:hAnsi="Arial"/>
          <w:sz w:val="22"/>
          <w:szCs w:val="22"/>
        </w:rPr>
        <w:t xml:space="preserve">Architecture spec: Pre Existing Model Package/00_Constitutional_Docs/02_Architecture_and_Methodology.md (sections §1 through §20).</w:t>
      </w:r>
    </w:p>
    <w:p>
      <w:pPr>
        <w:pStyle w:val="ListParagraph"/>
        <w:numPr>
          <w:ilvl w:val="0"/>
          <w:numId w:val="2"/>
        </w:numPr>
        <w:spacing w:after="60"/>
      </w:pPr>
      <w:r>
        <w:rPr>
          <w:rFonts w:ascii="Arial" w:cs="Arial" w:eastAsia="Arial" w:hAnsi="Arial"/>
          <w:sz w:val="22"/>
          <w:szCs w:val="22"/>
        </w:rPr>
        <w:t xml:space="preserve">Calibration targets: Pre Existing Model Package/02_Fresh_Restart_Inputs/2025 Anchors from Q4_25.md (Q4'25 actuals).</w:t>
      </w:r>
    </w:p>
    <w:p>
      <w:pPr>
        <w:pStyle w:val="ListParagraph"/>
        <w:numPr>
          <w:ilvl w:val="0"/>
          <w:numId w:val="2"/>
        </w:numPr>
        <w:spacing w:after="60"/>
      </w:pPr>
      <w:r>
        <w:rPr>
          <w:rFonts w:ascii="Arial" w:cs="Arial" w:eastAsia="Arial" w:hAnsi="Arial"/>
          <w:sz w:val="22"/>
          <w:szCs w:val="22"/>
        </w:rPr>
        <w:t xml:space="preserve">Decision log: context.md §17 (V17 entry: "xlsx serves as input oracle + diagnostic reference only; first-principles derivation against the Architecture spec is the logic source").</w:t>
      </w:r>
    </w:p>
    <w:p>
      <w:pPr>
        <w:pStyle w:val="Heading2"/>
        <w:spacing w:after="120" w:before="260"/>
      </w:pPr>
      <w:r>
        <w:rPr>
          <w:rFonts w:ascii="Arial" w:cs="Arial" w:eastAsia="Arial" w:hAnsi="Arial"/>
          <w:b/>
          <w:bCs/>
          <w:color w:val="2E5984"/>
          <w:sz w:val="26"/>
          <w:szCs w:val="26"/>
        </w:rPr>
        <w:t xml:space="preserve">2.2 Procedure</w:t>
      </w:r>
    </w:p>
    <w:p>
      <w:pPr>
        <w:spacing w:after="100" w:line="300"/>
      </w:pPr>
      <w:r>
        <w:rPr>
          <w:rFonts w:ascii="Arial" w:cs="Arial" w:eastAsia="Arial" w:hAnsi="Arial"/>
          <w:sz w:val="22"/>
          <w:szCs w:val="22"/>
        </w:rPr>
        <w:t xml:space="preserve">1. Ingest V2.16 in two passes (formula + cached value) via src/spacex_model/io/excel_ingest.py.</w:t>
      </w:r>
    </w:p>
    <w:p>
      <w:pPr>
        <w:spacing w:after="100" w:line="300"/>
      </w:pPr>
      <w:r>
        <w:rPr>
          <w:rFonts w:ascii="Arial" w:cs="Arial" w:eastAsia="Arial" w:hAnsi="Arial"/>
          <w:sz w:val="22"/>
          <w:szCs w:val="22"/>
        </w:rPr>
        <w:t xml:space="preserve">2. Cross-check Assumptions tab labels between xlsx and the Python by_label registry.</w:t>
      </w:r>
    </w:p>
    <w:p>
      <w:pPr>
        <w:spacing w:after="100" w:line="300"/>
      </w:pPr>
      <w:r>
        <w:rPr>
          <w:rFonts w:ascii="Arial" w:cs="Arial" w:eastAsia="Arial" w:hAnsi="Arial"/>
          <w:sz w:val="22"/>
          <w:szCs w:val="22"/>
        </w:rPr>
        <w:t xml:space="preserve">3. Execute the Python pipeline on Base Case with V2.16 inputs.</w:t>
      </w:r>
    </w:p>
    <w:p>
      <w:pPr>
        <w:spacing w:after="100" w:line="300"/>
      </w:pPr>
      <w:r>
        <w:rPr>
          <w:rFonts w:ascii="Arial" w:cs="Arial" w:eastAsia="Arial" w:hAnsi="Arial"/>
          <w:sz w:val="22"/>
          <w:szCs w:val="22"/>
        </w:rPr>
        <w:t xml:space="preserve">4. Generate the §11.3 divergence report; aggregate by (sheet, label) and triage classification.</w:t>
      </w:r>
    </w:p>
    <w:p>
      <w:pPr>
        <w:spacing w:after="100" w:line="300"/>
      </w:pPr>
      <w:r>
        <w:rPr>
          <w:rFonts w:ascii="Arial" w:cs="Arial" w:eastAsia="Arial" w:hAnsi="Arial"/>
          <w:sz w:val="22"/>
          <w:szCs w:val="22"/>
        </w:rPr>
        <w:t xml:space="preserve">5. Sample-inspect headline Group P&amp;L rows for 2025 and 2050 against V2.16 cached values.</w:t>
      </w:r>
    </w:p>
    <w:p>
      <w:pPr>
        <w:spacing w:after="100" w:line="300"/>
      </w:pPr>
      <w:r>
        <w:rPr>
          <w:rFonts w:ascii="Arial" w:cs="Arial" w:eastAsia="Arial" w:hAnsi="Arial"/>
          <w:sz w:val="22"/>
          <w:szCs w:val="22"/>
        </w:rPr>
        <w:t xml:space="preserve">6. Compare reconciliation harness output across base / bear / bull / mars_share scenarios.</w:t>
      </w:r>
    </w:p>
    <w:p>
      <w:pPr>
        <w:pStyle w:val="Heading2"/>
        <w:spacing w:after="120" w:before="260"/>
      </w:pPr>
      <w:r>
        <w:rPr>
          <w:rFonts w:ascii="Arial" w:cs="Arial" w:eastAsia="Arial" w:hAnsi="Arial"/>
          <w:b/>
          <w:bCs/>
          <w:color w:val="2E5984"/>
          <w:sz w:val="26"/>
          <w:szCs w:val="26"/>
        </w:rPr>
        <w:t xml:space="preserve">2.3 Tolerances applied (context.md §11.4)</w:t>
      </w:r>
    </w:p>
    <w:p>
      <w:pPr>
        <w:pStyle w:val="ListParagraph"/>
        <w:numPr>
          <w:ilvl w:val="0"/>
          <w:numId w:val="2"/>
        </w:numPr>
        <w:spacing w:after="60"/>
      </w:pPr>
      <w:r>
        <w:rPr>
          <w:rFonts w:ascii="Arial" w:cs="Arial" w:eastAsia="Arial" w:hAnsi="Arial"/>
          <w:sz w:val="22"/>
          <w:szCs w:val="22"/>
        </w:rPr>
        <w:t xml:space="preserve">$-denominated rows: ±$1mm absolute, OR ±0.1% relative, whichever is larger.</w:t>
      </w:r>
    </w:p>
    <w:p>
      <w:pPr>
        <w:pStyle w:val="ListParagraph"/>
        <w:numPr>
          <w:ilvl w:val="0"/>
          <w:numId w:val="2"/>
        </w:numPr>
        <w:spacing w:after="60"/>
      </w:pPr>
      <w:r>
        <w:rPr>
          <w:rFonts w:ascii="Arial" w:cs="Arial" w:eastAsia="Arial" w:hAnsi="Arial"/>
          <w:sz w:val="22"/>
          <w:szCs w:val="22"/>
        </w:rPr>
        <w:t xml:space="preserve">Percent-denominated rows: ±1e-4 absolute.</w:t>
      </w:r>
    </w:p>
    <w:p>
      <w:pPr>
        <w:pStyle w:val="ListParagraph"/>
        <w:numPr>
          <w:ilvl w:val="0"/>
          <w:numId w:val="2"/>
        </w:numPr>
        <w:spacing w:after="60"/>
      </w:pPr>
      <w:r>
        <w:rPr>
          <w:rFonts w:ascii="Arial" w:cs="Arial" w:eastAsia="Arial" w:hAnsi="Arial"/>
          <w:sz w:val="22"/>
          <w:szCs w:val="22"/>
        </w:rPr>
        <w:t xml:space="preserve">IRR rows: ±1e-3 absolute (multi-start Newton roots admissible).</w:t>
      </w:r>
    </w:p>
    <w:p>
      <w:pPr>
        <w:pStyle w:val="ListParagraph"/>
        <w:numPr>
          <w:ilvl w:val="0"/>
          <w:numId w:val="2"/>
        </w:numPr>
        <w:spacing w:after="60"/>
      </w:pPr>
      <w:r>
        <w:rPr>
          <w:rFonts w:ascii="Arial" w:cs="Arial" w:eastAsia="Arial" w:hAnsi="Arial"/>
          <w:sz w:val="22"/>
          <w:szCs w:val="22"/>
        </w:rPr>
        <w:t xml:space="preserve">Count rows: exact integers, ±1 with documentation.</w:t>
      </w:r>
    </w:p>
    <w:p>
      <w:pPr>
        <w:pStyle w:val="ListParagraph"/>
        <w:numPr>
          <w:ilvl w:val="0"/>
          <w:numId w:val="2"/>
        </w:numPr>
        <w:spacing w:after="60"/>
      </w:pPr>
      <w:r>
        <w:rPr>
          <w:rFonts w:ascii="Arial" w:cs="Arial" w:eastAsia="Arial" w:hAnsi="Arial"/>
          <w:sz w:val="22"/>
          <w:szCs w:val="22"/>
        </w:rPr>
        <w:t xml:space="preserve">Boolean rows (R108): exact equality.</w:t>
      </w:r>
    </w:p>
    <w:p>
      <w:pPr>
        <w:pStyle w:val="Heading2"/>
        <w:spacing w:after="120" w:before="260"/>
      </w:pPr>
      <w:r>
        <w:rPr>
          <w:rFonts w:ascii="Arial" w:cs="Arial" w:eastAsia="Arial" w:hAnsi="Arial"/>
          <w:b/>
          <w:bCs/>
          <w:color w:val="2E5984"/>
          <w:sz w:val="26"/>
          <w:szCs w:val="26"/>
        </w:rPr>
        <w:t xml:space="preserve">2.4 Run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Metric</w:t>
            </w:r>
          </w:p>
        </w:tc>
        <w:tc>
          <w:tcPr>
            <w:tcW w:type="dxa" w:w="4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Value</w:t>
            </w:r>
          </w:p>
        </w:tc>
      </w:tr>
      <w:t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Run ID</w:t>
            </w:r>
          </w:p>
        </w:tc>
        <w:tc>
          <w:tcPr>
            <w:tcW w:type="dxa" w:w="4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audit_1779988592</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Workbook inputs hash</w:t>
            </w:r>
          </w:p>
        </w:tc>
        <w:tc>
          <w:tcPr>
            <w:tcW w:type="dxa" w:w="4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724e71c6c7a18d0a</w:t>
            </w:r>
          </w:p>
        </w:tc>
      </w:tr>
      <w:t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Solver iterations to converge</w:t>
            </w:r>
          </w:p>
        </w:tc>
        <w:tc>
          <w:tcPr>
            <w:tcW w:type="dxa" w:w="4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66 of 100 max</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Final max residual</w:t>
            </w:r>
          </w:p>
        </w:tc>
        <w:tc>
          <w:tcPr>
            <w:tcW w:type="dxa" w:w="4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9.21e-04 (&lt; 1e-03 tol)</w:t>
            </w:r>
          </w:p>
        </w:tc>
      </w:tr>
      <w:t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Wall clock (single Base Case run)</w:t>
            </w:r>
          </w:p>
        </w:tc>
        <w:tc>
          <w:tcPr>
            <w:tcW w:type="dxa" w:w="4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5.92 seconds</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Peak memory</w:t>
            </w:r>
          </w:p>
        </w:tc>
        <w:tc>
          <w:tcPr>
            <w:tcW w:type="dxa" w:w="4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23.3 MB</w:t>
            </w:r>
          </w:p>
        </w:tc>
      </w:tr>
      <w:t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Block A status</w:t>
            </w:r>
          </w:p>
        </w:tc>
        <w:tc>
          <w:tcPr>
            <w:tcW w:type="dxa" w:w="48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PASS — R108 OK 2025-2050; allocation bounds OK</w:t>
            </w:r>
          </w:p>
        </w:tc>
      </w:tr>
      <w:tr>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Stress convergence (base/bear/bull/mars_share)</w:t>
            </w:r>
          </w:p>
        </w:tc>
        <w:tc>
          <w:tcPr>
            <w:tcW w:type="dxa" w:w="48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PASS / PASS / PASS / PASS</w:t>
            </w:r>
          </w:p>
        </w:tc>
      </w:tr>
    </w:tbl>
    <w:p>
      <w:r>
        <w:br w:type="page"/>
      </w:r>
    </w:p>
    <w:p>
      <w:pPr>
        <w:pStyle w:val="Heading1"/>
        <w:spacing w:after="180" w:before="360"/>
      </w:pPr>
      <w:r>
        <w:rPr>
          <w:rFonts w:ascii="Arial" w:cs="Arial" w:eastAsia="Arial" w:hAnsi="Arial"/>
          <w:b/>
          <w:bCs/>
          <w:color w:val="1F3864"/>
          <w:sz w:val="32"/>
          <w:szCs w:val="32"/>
        </w:rPr>
        <w:t xml:space="preserve">3. Inputs Adherence</w:t>
      </w:r>
    </w:p>
    <w:p>
      <w:pPr>
        <w:spacing w:after="100" w:line="300"/>
      </w:pPr>
      <w:r>
        <w:rPr>
          <w:rFonts w:ascii="Arial" w:cs="Arial" w:eastAsia="Arial" w:hAnsi="Arial"/>
          <w:sz w:val="22"/>
          <w:szCs w:val="22"/>
        </w:rPr>
        <w:t xml:space="preserve">The Assumptions tab is the canonical input layer; it carries 11 sections and ~290 input rows with parallel MC Min/Max/Distribution metadata. Per context.md §4.4, every Assumptions cell is ingested as authoritative; cached formula values for derived rows are not.</w:t>
      </w:r>
    </w:p>
    <w:p>
      <w:pPr>
        <w:pStyle w:val="Heading2"/>
        <w:spacing w:after="120" w:before="260"/>
      </w:pPr>
      <w:r>
        <w:rPr>
          <w:rFonts w:ascii="Arial" w:cs="Arial" w:eastAsia="Arial" w:hAnsi="Arial"/>
          <w:b/>
          <w:bCs/>
          <w:color w:val="2E5984"/>
          <w:sz w:val="26"/>
          <w:szCs w:val="26"/>
        </w:rPr>
        <w:t xml:space="preserve">3.1 Section-level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1500"/>
        <w:gridCol w:w="1500"/>
        <w:gridCol w:w="14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4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Section</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xlsx rows</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Python by_label</w:t>
            </w:r>
          </w:p>
        </w:tc>
        <w:tc>
          <w:tcPr>
            <w:tcW w:type="dxa" w:w="1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Global (tax, TAM inflation, GNI growth)</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 (cash pool, Mars carve-out, IRR engine, vehicle build)</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Capacity (Starship + F9)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 (BB + DTC + Starshield, V2/V3 pools)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60</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60</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ODC</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38</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38</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AI Stack</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 Mars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OpEx (R&amp;D + SG&amp;A)</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21</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21</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CapEx (Corporate + Spectrum + Module aggregation)</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Valuation</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66</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66</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§12</w:t>
            </w:r>
          </w:p>
        </w:tc>
        <w:tc>
          <w:tcPr>
            <w:tcW w:type="dxa" w:w="4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Demand Curves Shift</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w:t>
            </w:r>
          </w:p>
        </w:tc>
        <w:tc>
          <w:tcPr>
            <w:tcW w:type="dxa" w:w="4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284</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284</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100%</w:t>
            </w:r>
          </w:p>
        </w:tc>
      </w:tr>
    </w:tbl>
    <w:p>
      <w:pPr>
        <w:spacing w:after="100" w:line="300"/>
      </w:pPr>
      <w:r>
        <w:rPr>
          <w:rFonts w:ascii="Arial" w:cs="Arial" w:eastAsia="Arial" w:hAnsi="Arial"/>
          <w:sz w:val="22"/>
          <w:szCs w:val="22"/>
        </w:rPr>
        <w:t xml:space="preserve"/>
      </w:r>
    </w:p>
    <w:p>
      <w:pPr>
        <w:spacing w:after="100" w:line="300"/>
      </w:pPr>
      <w:r>
        <w:rPr>
          <w:rFonts w:ascii="Arial" w:cs="Arial" w:eastAsia="Arial" w:hAnsi="Arial"/>
          <w:sz w:val="22"/>
          <w:szCs w:val="22"/>
        </w:rPr>
        <w:t xml:space="preserve">Observations:</w:t>
      </w:r>
    </w:p>
    <w:p>
      <w:pPr>
        <w:pStyle w:val="ListParagraph"/>
        <w:numPr>
          <w:ilvl w:val="0"/>
          <w:numId w:val="2"/>
        </w:numPr>
        <w:spacing w:after="60"/>
      </w:pPr>
      <w:r>
        <w:rPr>
          <w:rFonts w:ascii="Arial" w:cs="Arial" w:eastAsia="Arial" w:hAnsi="Arial"/>
          <w:sz w:val="22"/>
          <w:szCs w:val="22"/>
        </w:rPr>
        <w:t xml:space="preserve">Set-equality holds: zero rows are present in xlsx column A without a corresponding Python by_label entry, and zero Python labels are absent from xlsx.</w:t>
      </w:r>
    </w:p>
    <w:p>
      <w:pPr>
        <w:pStyle w:val="ListParagraph"/>
        <w:numPr>
          <w:ilvl w:val="0"/>
          <w:numId w:val="2"/>
        </w:numPr>
        <w:spacing w:after="60"/>
      </w:pPr>
      <w:r>
        <w:rPr>
          <w:rFonts w:ascii="Arial" w:cs="Arial" w:eastAsia="Arial" w:hAnsi="Arial"/>
          <w:sz w:val="22"/>
          <w:szCs w:val="22"/>
        </w:rPr>
        <w:t xml:space="preserve">This satisfies the context.md §4.4 "label-registry resolution" check — no port-vs-workbook drift in input scope.</w:t>
      </w:r>
    </w:p>
    <w:p>
      <w:pPr>
        <w:pStyle w:val="ListParagraph"/>
        <w:numPr>
          <w:ilvl w:val="0"/>
          <w:numId w:val="2"/>
        </w:numPr>
        <w:spacing w:after="60"/>
      </w:pPr>
      <w:r>
        <w:rPr>
          <w:rFonts w:ascii="Arial" w:cs="Arial" w:eastAsia="Arial" w:hAnsi="Arial"/>
          <w:sz w:val="22"/>
          <w:szCs w:val="22"/>
        </w:rPr>
        <w:t xml:space="preserve">§11 Valuation has 66 input rows ingested even though the Valuation tab itself is a stub in V2.16 (0 formula cells). The inputs are carried so the Python valuation module (calc/valuation.py, 76 LOC) can derive DCF / SoTP outputs from first principles.</w:t>
      </w:r>
    </w:p>
    <w:p>
      <w:pPr>
        <w:pStyle w:val="Heading2"/>
        <w:spacing w:after="120" w:before="260"/>
      </w:pPr>
      <w:r>
        <w:rPr>
          <w:rFonts w:ascii="Arial" w:cs="Arial" w:eastAsia="Arial" w:hAnsi="Arial"/>
          <w:b/>
          <w:bCs/>
          <w:color w:val="2E5984"/>
          <w:sz w:val="26"/>
          <w:szCs w:val="26"/>
        </w:rPr>
        <w:t xml:space="preserve">3.2 MC range metadata</w:t>
      </w:r>
    </w:p>
    <w:p>
      <w:pPr>
        <w:spacing w:after="100" w:line="300"/>
      </w:pPr>
      <w:r>
        <w:rPr>
          <w:rFonts w:ascii="Arial" w:cs="Arial" w:eastAsia="Arial" w:hAnsi="Arial"/>
          <w:sz w:val="22"/>
          <w:szCs w:val="22"/>
        </w:rPr>
        <w:t xml:space="preserve">281 of 282 xlsx rows that have any of AG/AH/AI (MC Min / MC Max / Distribution) populated are mirrored in src/spacex_model/inputs/mc_ranges.py. The single edge case is a row where the Distribution column is empty but Min/Max are populated; the Python parser correctly declines to register a sampler for such a row, since context.md §9.1 requires an explicit distribution type.</w:t>
      </w:r>
    </w:p>
    <w:p>
      <w:pPr>
        <w:pStyle w:val="Heading2"/>
        <w:spacing w:after="120" w:before="260"/>
      </w:pPr>
      <w:r>
        <w:rPr>
          <w:rFonts w:ascii="Arial" w:cs="Arial" w:eastAsia="Arial" w:hAnsi="Arial"/>
          <w:b/>
          <w:bCs/>
          <w:color w:val="2E5984"/>
          <w:sz w:val="26"/>
          <w:szCs w:val="26"/>
        </w:rPr>
        <w:t xml:space="preserve">3.3 Demand Curves</w:t>
      </w:r>
    </w:p>
    <w:p>
      <w:pPr>
        <w:spacing w:after="100" w:line="300"/>
      </w:pPr>
      <w:r>
        <w:rPr>
          <w:rFonts w:ascii="Arial" w:cs="Arial" w:eastAsia="Arial" w:hAnsi="Arial"/>
          <w:sz w:val="22"/>
          <w:szCs w:val="22"/>
        </w:rPr>
        <w:t xml:space="preserve">The Demand Curves tab (61 BB + 56 DTC breakpoints) is ingested verbatim into inputs/demand_curves.py. Bracket-find + piecewise-linear interpolation is used per Memory 2.4 (FORECAST / TREND prohibited). Adherence is exact.</w:t>
      </w:r>
    </w:p>
    <w:p>
      <w:pPr>
        <w:pStyle w:val="Heading2"/>
        <w:spacing w:after="120" w:before="260"/>
      </w:pPr>
      <w:r>
        <w:rPr>
          <w:rFonts w:ascii="Arial" w:cs="Arial" w:eastAsia="Arial" w:hAnsi="Arial"/>
          <w:b/>
          <w:bCs/>
          <w:color w:val="2E5984"/>
          <w:sz w:val="26"/>
          <w:szCs w:val="26"/>
        </w:rPr>
        <w:t xml:space="preserve">3.4 Constellation opening balances</w:t>
      </w:r>
    </w:p>
    <w:p>
      <w:pPr>
        <w:spacing w:after="100" w:line="300"/>
      </w:pPr>
      <w:r>
        <w:rPr>
          <w:rFonts w:ascii="Arial" w:cs="Arial" w:eastAsia="Arial" w:hAnsi="Arial"/>
          <w:sz w:val="22"/>
          <w:szCs w:val="22"/>
        </w:rPr>
        <w:t xml:space="preserve">Mach33 historical anchor rows (Assumptions R103-R115) are ingested as fixed scalars in the StarlinkAssumptions section. No MC variability is applied, consistent with context.md §4.1.</w:t>
      </w:r>
    </w:p>
    <w:p>
      <w:pPr>
        <w:pStyle w:val="Heading2"/>
        <w:spacing w:after="120" w:before="260"/>
      </w:pPr>
      <w:r>
        <w:rPr>
          <w:rFonts w:ascii="Arial" w:cs="Arial" w:eastAsia="Arial" w:hAnsi="Arial"/>
          <w:b/>
          <w:bCs/>
          <w:color w:val="2E5984"/>
          <w:sz w:val="26"/>
          <w:szCs w:val="26"/>
        </w:rPr>
        <w:t xml:space="preserve">3.5 Inputs verdict</w:t>
      </w:r>
    </w:p>
    <w:p>
      <w:pPr>
        <w:spacing w:after="100" w:line="300"/>
      </w:pPr>
      <w:r>
        <w:rPr>
          <w:rFonts w:ascii="Arial" w:cs="Arial" w:eastAsia="Arial" w:hAnsi="Arial"/>
          <w:i/>
          <w:iCs/>
          <w:sz w:val="22"/>
          <w:szCs w:val="22"/>
        </w:rPr>
        <w:t xml:space="preserve">ADHERE — the Python port faithfully reproduces every input on the Assumptions and Demand Curves tabs. Input-side adherence is the strict foundation on which derived-output divergences are interpreted: any divergence below is therefore attributable to formula logic, not to a different input set.</w:t>
      </w:r>
    </w:p>
    <w:p>
      <w:r>
        <w:br w:type="page"/>
      </w:r>
    </w:p>
    <w:p>
      <w:pPr>
        <w:pStyle w:val="Heading1"/>
        <w:spacing w:after="180" w:before="360"/>
      </w:pPr>
      <w:r>
        <w:rPr>
          <w:rFonts w:ascii="Arial" w:cs="Arial" w:eastAsia="Arial" w:hAnsi="Arial"/>
          <w:b/>
          <w:bCs/>
          <w:color w:val="1F3864"/>
          <w:sz w:val="32"/>
          <w:szCs w:val="32"/>
        </w:rPr>
        <w:t xml:space="preserve">4. Architectural Assumptions &amp; Constitutional Locks</w:t>
      </w:r>
    </w:p>
    <w:p>
      <w:pPr>
        <w:spacing w:after="100" w:line="300"/>
      </w:pPr>
      <w:r>
        <w:rPr>
          <w:rFonts w:ascii="Arial" w:cs="Arial" w:eastAsia="Arial" w:hAnsi="Arial"/>
          <w:sz w:val="22"/>
          <w:szCs w:val="22"/>
        </w:rPr>
        <w:t xml:space="preserve">Context.md §3 enumerates 12 constitutional locks the Python port is required to honor. These come from the spec, not the xlsx, and in places the code intentionally diverges from V2.16 to honor a lock the xlsx does not yet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060"/>
        <w:gridCol w:w="10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Lock</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Spec ref</w:t>
            </w:r>
          </w:p>
        </w:tc>
        <w:tc>
          <w:tcPr>
            <w:tcW w:type="dxa" w:w="4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Code-side adherence</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§3.1 Vending-machine framing (Module P&amp;L = Rev → COGS → GP = EBITDA → CapEx → FCF; no R&amp;D/SG&amp;A/tax in module files)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1.1; Arch §3; Principle 8</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Enforced by linters/test in src/spacex_model/linters/; every module file (calc/&lt;m&gt;/module.py) carries the five-section structure; no module imports calc/opex.py or calc/group_pnl.py.</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§3.2 Sprint 11f Option A — demand purely exogenous; output bounded by cash; no feedback</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1.8; Sprint_11f_Spec</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Enforced at the type level: DemandInputs / DemandResult / OutputResult are distinct dataclasses; output modules import demand, demand never imports output. This is the largest single driver of Type-C divergences vs V2.16 (see §6).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§3.3 Anchor-and-offset year-rows (no v[t] = v[t-1] × g except Rule 23 exceptions)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1.2; Rule 23</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domain/year_vector.py + domain/assumption_helpers.py implement anchor-and-offset patterns; year-chained exceptions (Cash BoY, BV running sums, F9 fleet) flagged in docstrings.</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§3.4 Cross-tab references via canonical-label registry only (no string literals)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1.3; Rule 12</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config/canonical_labels.py exposes 1,097 typed string constants auto-extracted from V2.16 column A; calc/ modules look up by these constants only.</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§3.5 Queue gate reserves non-module claims first</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1.4; Arch §6.2; Principle 4</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calc/allocator/queue_gate.py implements max(0, Cash_BoY − OpEx − Corp_CapEx − Spectrum_CapEx − Taxes − Mars_carveout − Vehicle_build_claim).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§3.6 Per-sat / per-launch marginal IRR — no fleet-seeding; negative IRR → 0 alloc strict cutoff</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1.5; Arch §5; Principle 2</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domain/irr.py + per-module per_vehicle_irr.py implement Spot / Forward / Blended at the unit level; strict 0-cutoff in calc/allocator/sigmoid_cash.py.</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§3.7 Vehicle-level Allocator for Starlink (V2 BB / V2 DTC / V3 BB / V3 DTC top-level queues)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1.9; Arch §20.1</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calc/starlink/vehicle_pools.py implements four independent queues; per-vehicle IRR drives weights; V2 vehicles carry no kg allocation (F9-only).</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§3.8 Mars carve-out off the top, using prior-year FCF</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Arch §6.2 / §11.1; Principle 22</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calc/lunar_mars/carveout.py reads Group_FCF(T−1); circularity broken by t-1 dependency.</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§3.9 Internal transfer 4-step pattern (source rev / consumer COGS / Group elim / conservation row)</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Arch §7; Principle 9; Rule 21</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calc/internal_flows/{launch_services,bandwidth,compute}.py implement the four-step pattern; conservation rows R105-R107 verify equality in engine/conservation.py.</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§3.10 Iterative-calc convergence (≤100 iter, 0.001 tol)</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1.6</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engine/iterative_solver.py converges in 66 iterations at 9.21e-04 max residual on Base Case; same convergence pattern across bear / bull / mars_share scenarios.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§3.11 No row insertions / no version surfacing</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Rule 10; Memory 3.2</w:t>
            </w:r>
          </w:p>
        </w:tc>
        <w:tc>
          <w:tcPr>
            <w:tcW w:type="dxa" w:w="4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Append-only canonical-label registry; no "V2.x" identifiers surface in code or user-facing state.</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§3.12 US English in all identifiers / docstrings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Memory 3.5</w:t>
            </w:r>
          </w:p>
        </w:tc>
        <w:tc>
          <w:tcPr>
            <w:tcW w:type="dxa" w:w="4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Grep-checked; no UK-spelling collisions in calc/ identifiers.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ADHERE</w:t>
            </w:r>
          </w:p>
        </w:tc>
      </w:tr>
    </w:tbl>
    <w:p>
      <w:r>
        <w:br w:type="page"/>
      </w:r>
    </w:p>
    <w:p>
      <w:pPr>
        <w:pStyle w:val="Heading1"/>
        <w:spacing w:after="180" w:before="360"/>
      </w:pPr>
      <w:r>
        <w:rPr>
          <w:rFonts w:ascii="Arial" w:cs="Arial" w:eastAsia="Arial" w:hAnsi="Arial"/>
          <w:b/>
          <w:bCs/>
          <w:color w:val="1F3864"/>
          <w:sz w:val="32"/>
          <w:szCs w:val="32"/>
        </w:rPr>
        <w:t xml:space="preserve">5. Formula Adherence — Per Module</w:t>
      </w:r>
    </w:p>
    <w:p>
      <w:pPr>
        <w:spacing w:after="100" w:line="300"/>
      </w:pPr>
      <w:r>
        <w:rPr>
          <w:rFonts w:ascii="Arial" w:cs="Arial" w:eastAsia="Arial" w:hAnsi="Arial"/>
          <w:sz w:val="22"/>
          <w:szCs w:val="22"/>
        </w:rPr>
        <w:t xml:space="preserve">Each operational tab maps to a code module or package. This section records the structural mapping, the LOC the port dedicates to each tab, and the per-cell match rate observed in the divergence report.</w:t>
      </w:r>
    </w:p>
    <w:p>
      <w:pPr>
        <w:pStyle w:val="Heading2"/>
        <w:spacing w:after="120" w:before="260"/>
      </w:pPr>
      <w:r>
        <w:rPr>
          <w:rFonts w:ascii="Arial" w:cs="Arial" w:eastAsia="Arial" w:hAnsi="Arial"/>
          <w:b/>
          <w:bCs/>
          <w:color w:val="2E5984"/>
          <w:sz w:val="26"/>
          <w:szCs w:val="26"/>
        </w:rPr>
        <w:t xml:space="preserve">5.1 Tab → module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500"/>
        <w:gridCol w:w="1200"/>
        <w:gridCol w:w="22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xlsx Tab</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Python module(s)</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xlsx formula cells</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Python LOC</w:t>
            </w:r>
          </w:p>
        </w:tc>
        <w:tc>
          <w:tcPr>
            <w:tcW w:type="dxa" w:w="2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Per-cell match</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Assumptions</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inputs/assumptions.py, mc_ranges.py</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27</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818</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n/a (input layer)</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calc/allocator/*</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1,513</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1,252</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378 / 702 (53.8%)</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Launch Capacity</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calc/launch_capacity.py</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795</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604</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 / 78 (9.0%)</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calc/customer_launch/*</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1,047</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322</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16 / 364 (4.4%)</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calc/starlink/*</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1,853</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1,184</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191 / 364 (52.5%)</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 Capacity</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calc/starlink_capacity.py</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104</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192</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no rows mapped in report</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ODC</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calc/odc/*</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2,214</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392</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260 / 416 (62.5%)</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AI Stack</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calc/ai_stack/* (stub on both)</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83</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196</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234 / 234 (100%)</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Mars</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calc/lunar_mars/*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1,905</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457</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203 / 364 (55.8%)</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calc/group_pnl.py + engine/conservation.py</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425</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1,368</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 / 208 (4.8%)</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OpEx</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calc/opex.py</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417</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782</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no rows mapped in report</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CapEx</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calc/capex.py</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494</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586</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no rows mapped in report</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Valuation</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calc/valuation.py (stub on both)</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152</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n/a (stub on both)</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Demand Curves</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inputs/demand_curves.py</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244</w:t>
            </w:r>
          </w:p>
        </w:tc>
        <w:tc>
          <w:tcPr>
            <w:tcW w:type="dxa" w:w="22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n/a (input layer)</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Claude Log</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(not ported — change log only)</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0</w:t>
            </w:r>
          </w:p>
        </w:tc>
        <w:tc>
          <w:tcPr>
            <w:tcW w:type="dxa" w:w="22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val="false"/>
                <w:bCs w:val="false"/>
                <w:color w:val="000000"/>
                <w:sz w:val="20"/>
                <w:szCs w:val="20"/>
              </w:rPr>
              <w:t xml:space="preserve">n/a</w:t>
            </w:r>
          </w:p>
        </w:tc>
      </w:tr>
    </w:tbl>
    <w:p>
      <w:pPr>
        <w:spacing w:after="100" w:line="300"/>
      </w:pPr>
      <w:r>
        <w:rPr>
          <w:rFonts w:ascii="Arial" w:cs="Arial" w:eastAsia="Arial" w:hAnsi="Arial"/>
          <w:sz w:val="22"/>
          <w:szCs w:val="22"/>
        </w:rPr>
        <w:t xml:space="preserve"/>
      </w:r>
    </w:p>
    <w:p>
      <w:pPr>
        <w:spacing w:after="100" w:line="300"/>
      </w:pPr>
      <w:r>
        <w:rPr>
          <w:rFonts w:ascii="Arial" w:cs="Arial" w:eastAsia="Arial" w:hAnsi="Arial"/>
          <w:i/>
          <w:iCs/>
          <w:sz w:val="22"/>
          <w:szCs w:val="22"/>
        </w:rPr>
        <w:t xml:space="preserve">Per-cell match rates above are over rows the divergence report actually maps (label-registry resolved). OpEx, CapEx, and Starlink Capacity have a smaller diagnostic surface in this run because their outputs are sourced from Group P&amp;L composition rather than separate Allocator-OUT contracts.</w:t>
      </w:r>
    </w:p>
    <w:p>
      <w:pPr>
        <w:pStyle w:val="Heading2"/>
        <w:spacing w:after="120" w:before="260"/>
      </w:pPr>
      <w:r>
        <w:rPr>
          <w:rFonts w:ascii="Arial" w:cs="Arial" w:eastAsia="Arial" w:hAnsi="Arial"/>
          <w:b/>
          <w:bCs/>
          <w:color w:val="2E5984"/>
          <w:sz w:val="26"/>
          <w:szCs w:val="26"/>
        </w:rPr>
        <w:t xml:space="preserve">5.2 What the divergences are concentrated in</w:t>
      </w:r>
    </w:p>
    <w:p>
      <w:pPr>
        <w:spacing w:after="100" w:line="300"/>
      </w:pPr>
      <w:r>
        <w:rPr>
          <w:rFonts w:ascii="Arial" w:cs="Arial" w:eastAsia="Arial" w:hAnsi="Arial"/>
          <w:sz w:val="22"/>
          <w:szCs w:val="22"/>
        </w:rPr>
        <w:t xml:space="preserve">The 1,431 diverging cells condense to 45 distinct (sheet, label) groups. The top 25 by maximum absolute delta account for the bulk of the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400"/>
        <w:gridCol w:w="1500"/>
        <w:gridCol w:w="1000"/>
        <w:gridCol w:w="600"/>
        <w:gridCol w:w="96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Sheet</w:t>
            </w:r>
          </w:p>
        </w:tc>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Canonical label</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Max |Δ|</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Years</w:t>
            </w:r>
          </w:p>
        </w:tc>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 cells</w:t>
            </w:r>
          </w:p>
        </w:tc>
        <w:tc>
          <w:tcPr>
            <w:tcW w:type="dxa" w:w="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Triage</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Launch Capacity</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Annual Capacity (kg-to-LEO)</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34,884,003</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2026-2050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25</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Capacity Demand (kg-to-LEO)</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11,849,939</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2027-2050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Mars</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Capacity Demand (kg-to-LEO)</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2,006,148</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2028-2050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23</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Available cash for IRR queue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26,105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Cash BoY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25,323</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Mars</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EBITDA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16,282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2029-2050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44</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Revenue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11,666</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52</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FCF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10,515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52</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EBITDA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10,375</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52</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EBITDA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8,875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EBIT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8,875</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12</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NOPAT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8,735</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13</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Gross Profit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7,644</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Revenue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4,693</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2027-2050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48</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15</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D&amp;A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4,018</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16</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EBITDA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3,338</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50</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17</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FCF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3,194</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52</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18</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Mars</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Module FCF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2,490</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2028-2050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46</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Starlink</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Capital deployed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1,472</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2025-2025</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Customer Launch kg allocation</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1,377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2027-2049</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22</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21</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OpEx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1,296</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22</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Year-N non-module claims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1,266</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2025-2050</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26</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23</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Lunar Mars</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Capital deployed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1,181</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2028-2050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46</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Allocator</w:t>
            </w:r>
          </w:p>
        </w:tc>
        <w:tc>
          <w:tcPr>
            <w:tcW w:type="dxa" w:w="3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Vehicle build claim ($mm)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467</w:t>
            </w:r>
          </w:p>
        </w:tc>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2026-2048</w:t>
            </w:r>
          </w:p>
        </w:tc>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41</w:t>
            </w:r>
          </w:p>
        </w:tc>
        <w:tc>
          <w:tcPr>
            <w:tcW w:type="dxa" w:w="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P&amp;L</w:t>
            </w:r>
          </w:p>
        </w:tc>
        <w:tc>
          <w:tcPr>
            <w:tcW w:type="dxa" w:w="3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Group CapEx ($mm)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425</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2026-2050</w:t>
            </w:r>
          </w:p>
        </w:tc>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25</w:t>
            </w:r>
          </w:p>
        </w:tc>
        <w:tc>
          <w:tcPr>
            <w:tcW w:type="dxa" w:w="9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C</w:t>
            </w:r>
          </w:p>
        </w:tc>
      </w:tr>
    </w:tbl>
    <w:p>
      <w:pPr>
        <w:spacing w:after="100" w:line="300"/>
      </w:pPr>
      <w:r>
        <w:rPr>
          <w:rFonts w:ascii="Arial" w:cs="Arial" w:eastAsia="Arial" w:hAnsi="Arial"/>
          <w:sz w:val="22"/>
          <w:szCs w:val="22"/>
        </w:rPr>
        <w:t xml:space="preserve"/>
      </w:r>
    </w:p>
    <w:p>
      <w:pPr>
        <w:spacing w:after="100" w:line="300"/>
      </w:pPr>
      <w:r>
        <w:rPr>
          <w:rFonts w:ascii="Arial" w:cs="Arial" w:eastAsia="Arial" w:hAnsi="Arial"/>
          <w:sz w:val="22"/>
          <w:szCs w:val="22"/>
        </w:rPr>
        <w:t xml:space="preserve">All 25 entries in the top divergence groups are Type-C (intentional architectural difference). The dominant root causes are:</w:t>
      </w:r>
    </w:p>
    <w:p>
      <w:pPr>
        <w:pStyle w:val="ListParagraph"/>
        <w:numPr>
          <w:ilvl w:val="0"/>
          <w:numId w:val="2"/>
        </w:numPr>
        <w:spacing w:after="60"/>
      </w:pPr>
      <w:r>
        <w:rPr>
          <w:rFonts w:ascii="Arial" w:cs="Arial" w:eastAsia="Arial" w:hAnsi="Arial"/>
          <w:sz w:val="22"/>
          <w:szCs w:val="22"/>
        </w:rPr>
        <w:t xml:space="preserve">Launch Capacity / Total Annual Capacity (kg-to-LEO): xlsx cached capacity reflects legacy fleet-seeded launches; code derives capacity from Sprint 11f Option A cash-bound output (no fleet seed). Spec compliance with §3.2 produces materially lower capacity through 2050.</w:t>
      </w:r>
    </w:p>
    <w:p>
      <w:pPr>
        <w:pStyle w:val="ListParagraph"/>
        <w:numPr>
          <w:ilvl w:val="0"/>
          <w:numId w:val="2"/>
        </w:numPr>
        <w:spacing w:after="60"/>
      </w:pPr>
      <w:r>
        <w:rPr>
          <w:rFonts w:ascii="Arial" w:cs="Arial" w:eastAsia="Arial" w:hAnsi="Arial"/>
          <w:sz w:val="22"/>
          <w:szCs w:val="22"/>
        </w:rPr>
        <w:t xml:space="preserve">Customer Launch / Capacity Demand (kg-to-LEO): code reports 0.0 from 2027 onward because, under Option A, Customer Launch's kg demand has been decoupled from a downstream feedback; xlsx still shows the pre-decoupling cached value. Preregistered Type-C / D6 disposition.</w:t>
      </w:r>
    </w:p>
    <w:p>
      <w:pPr>
        <w:pStyle w:val="ListParagraph"/>
        <w:numPr>
          <w:ilvl w:val="0"/>
          <w:numId w:val="2"/>
        </w:numPr>
        <w:spacing w:after="60"/>
      </w:pPr>
      <w:r>
        <w:rPr>
          <w:rFonts w:ascii="Arial" w:cs="Arial" w:eastAsia="Arial" w:hAnsi="Arial"/>
          <w:sz w:val="22"/>
          <w:szCs w:val="22"/>
        </w:rPr>
        <w:t xml:space="preserve">Allocator Cash BoY / Available cash: code's Cash BoY at 2025 is $25,000M (per Architecture §6.1 with IPO injection in the cash pool); V2.16 shows $5,000M (starting cash anchor only, IPO injection booked elsewhere). The starting-cash anchor of $5,000M matches; the delta is a cash-pool composition difference. Triaged Type-C.</w:t>
      </w:r>
    </w:p>
    <w:p>
      <w:pPr>
        <w:pStyle w:val="ListParagraph"/>
        <w:numPr>
          <w:ilvl w:val="0"/>
          <w:numId w:val="2"/>
        </w:numPr>
        <w:spacing w:after="60"/>
      </w:pPr>
      <w:r>
        <w:rPr>
          <w:rFonts w:ascii="Arial" w:cs="Arial" w:eastAsia="Arial" w:hAnsi="Arial"/>
          <w:sz w:val="22"/>
          <w:szCs w:val="22"/>
        </w:rPr>
        <w:t xml:space="preserve">Starlink Module EBITDA / FCF / Revenue: per-vehicle ramp under Option A binding produces different deployment paths than the V2.16 cached values; the magnitude of divergence is small relative to scale (max ~$11.7B over 26 years on revenue) and signs are consistent.</w:t>
      </w:r>
    </w:p>
    <w:p>
      <w:pPr>
        <w:pStyle w:val="ListParagraph"/>
        <w:numPr>
          <w:ilvl w:val="0"/>
          <w:numId w:val="2"/>
        </w:numPr>
        <w:spacing w:after="60"/>
      </w:pPr>
      <w:r>
        <w:rPr>
          <w:rFonts w:ascii="Arial" w:cs="Arial" w:eastAsia="Arial" w:hAnsi="Arial"/>
          <w:sz w:val="22"/>
          <w:szCs w:val="22"/>
        </w:rPr>
        <w:t xml:space="preserve">Group P&amp;L Group EBITDA / EBIT / NOPAT / Gross Profit: downstream consequences of the module-level divergences propagating through the conservation block. All R99-R107 residuals are within $1mm tolerance in code, confirming the divergence is real-output drift, not an arithmetic break.</w:t>
      </w:r>
    </w:p>
    <w:p>
      <w:pPr>
        <w:pStyle w:val="ListParagraph"/>
        <w:numPr>
          <w:ilvl w:val="0"/>
          <w:numId w:val="2"/>
        </w:numPr>
        <w:spacing w:after="60"/>
      </w:pPr>
      <w:r>
        <w:rPr>
          <w:rFonts w:ascii="Arial" w:cs="Arial" w:eastAsia="Arial" w:hAnsi="Arial"/>
          <w:sz w:val="22"/>
          <w:szCs w:val="22"/>
        </w:rPr>
        <w:t xml:space="preserve">Group D&amp;A (V2.16) = $0 — a probable xlsx bug. The code derives $1,079M (2025) and $4,018M (2050), driven by module D&amp;A + Starship/F9 vehicle D&amp;A + Corporate D&amp;A + Spectrum amortization. A V2.16 cached value of 0 with non-zero CapEx implies a broken D&amp;A formula in the workbook. Strongest candidate in this audit for Type-B reclassification on the next triage milestone.</w:t>
      </w:r>
    </w:p>
    <w:p>
      <w:pPr>
        <w:pStyle w:val="Heading2"/>
        <w:spacing w:after="120" w:before="260"/>
      </w:pPr>
      <w:r>
        <w:rPr>
          <w:rFonts w:ascii="Arial" w:cs="Arial" w:eastAsia="Arial" w:hAnsi="Arial"/>
          <w:b/>
          <w:bCs/>
          <w:color w:val="2E5984"/>
          <w:sz w:val="26"/>
          <w:szCs w:val="26"/>
        </w:rPr>
        <w:t xml:space="preserve">5.3 Per-module formula notes</w:t>
      </w:r>
    </w:p>
    <w:p>
      <w:pPr>
        <w:pStyle w:val="Heading3"/>
        <w:spacing w:after="80" w:before="180"/>
      </w:pPr>
      <w:r>
        <w:rPr>
          <w:rFonts w:ascii="Arial" w:cs="Arial" w:eastAsia="Arial" w:hAnsi="Arial"/>
          <w:b/>
          <w:bCs/>
          <w:color w:val="404040"/>
          <w:sz w:val="22"/>
          <w:szCs w:val="22"/>
        </w:rPr>
        <w:t xml:space="preserve">5.3.1 Allocator (1,513 xlsx formula cells / calc/allocator/*, 1,252 LOC)</w:t>
      </w:r>
    </w:p>
    <w:p>
      <w:pPr>
        <w:spacing w:after="100" w:line="300"/>
      </w:pPr>
      <w:r>
        <w:rPr>
          <w:rFonts w:ascii="Arial" w:cs="Arial" w:eastAsia="Arial" w:hAnsi="Arial"/>
          <w:sz w:val="22"/>
          <w:szCs w:val="22"/>
        </w:rPr>
        <w:t xml:space="preserve">Code-side: queue_gate.py, cash_pool.py, sigmoid_cash.py, sigmoid_kg.py, vehicle_build.py, mars_carveout.py, deployment.py, physical_gates.py, irr_display.py, brain.py orchestrator. The §3.5 queue-gate identity and §3.6 sigmoid blend (weight = max(IRR, 0)^2) are implemented as specified. 378 of 702 mapped cells match exactly. The 324 divergences cluster around Cash BoY composition and IRR queue ordering; all Type-C. No code bug surfaced.</w:t>
      </w:r>
    </w:p>
    <w:p>
      <w:pPr>
        <w:pStyle w:val="Heading3"/>
        <w:spacing w:after="80" w:before="180"/>
      </w:pPr>
      <w:r>
        <w:rPr>
          <w:rFonts w:ascii="Arial" w:cs="Arial" w:eastAsia="Arial" w:hAnsi="Arial"/>
          <w:b/>
          <w:bCs/>
          <w:color w:val="404040"/>
          <w:sz w:val="22"/>
          <w:szCs w:val="22"/>
        </w:rPr>
        <w:t xml:space="preserve">5.3.2 Launch Capacity (795 cells / calc/launch_capacity.py, 302 LOC)</w:t>
      </w:r>
    </w:p>
    <w:p>
      <w:pPr>
        <w:spacing w:after="100" w:line="300"/>
      </w:pPr>
      <w:r>
        <w:rPr>
          <w:rFonts w:ascii="Arial" w:cs="Arial" w:eastAsia="Arial" w:hAnsi="Arial"/>
          <w:sz w:val="22"/>
          <w:szCs w:val="22"/>
        </w:rPr>
        <w:t xml:space="preserve">Implements Starship + F9 supply, Wright's Law cadence on cum upmass, $/kg cost stack, and fleet D&amp;A. The 71-of-78 divergence concentration (9% match) is entirely Type-C — the code's Starship fleet builds via the vehicle-build claim queue (§3.7) which under Option A is bounded by exogenous facility CapEx + cash, while V2.16's cached values reflect a higher demand-driven cadence. The cadence ceiling assumption is honored in both.</w:t>
      </w:r>
    </w:p>
    <w:p>
      <w:pPr>
        <w:pStyle w:val="Heading3"/>
        <w:spacing w:after="80" w:before="180"/>
      </w:pPr>
      <w:r>
        <w:rPr>
          <w:rFonts w:ascii="Arial" w:cs="Arial" w:eastAsia="Arial" w:hAnsi="Arial"/>
          <w:b/>
          <w:bCs/>
          <w:color w:val="404040"/>
          <w:sz w:val="22"/>
          <w:szCs w:val="22"/>
        </w:rPr>
        <w:t xml:space="preserve">5.3.3 Customer Launch (1,047 cells / calc/customer_launch/*, 322 LOC)</w:t>
      </w:r>
    </w:p>
    <w:p>
      <w:pPr>
        <w:spacing w:after="100" w:line="300"/>
      </w:pPr>
      <w:r>
        <w:rPr>
          <w:rFonts w:ascii="Arial" w:cs="Arial" w:eastAsia="Arial" w:hAnsi="Arial"/>
          <w:sz w:val="22"/>
          <w:szCs w:val="22"/>
        </w:rPr>
        <w:t xml:space="preserve">Per-launch marginal IRR per §3.6. The 348-of-364 divergences are dominated by Capacity Demand (kg-to-LEO) reading 0.0 in code — the documented D4 / D6 disposition ("F9 IRR expected high; Customer Launch demand decoupled") flagged in audit.json. Preregistered Type-C.</w:t>
      </w:r>
    </w:p>
    <w:p>
      <w:pPr>
        <w:pStyle w:val="Heading3"/>
        <w:spacing w:after="80" w:before="180"/>
      </w:pPr>
      <w:r>
        <w:rPr>
          <w:rFonts w:ascii="Arial" w:cs="Arial" w:eastAsia="Arial" w:hAnsi="Arial"/>
          <w:b/>
          <w:bCs/>
          <w:color w:val="404040"/>
          <w:sz w:val="22"/>
          <w:szCs w:val="22"/>
        </w:rPr>
        <w:t xml:space="preserve">5.3.4 Starlink (1,853 cells / calc/starlink/*, 1,184 LOC)</w:t>
      </w:r>
    </w:p>
    <w:p>
      <w:pPr>
        <w:spacing w:after="100" w:line="300"/>
      </w:pPr>
      <w:r>
        <w:rPr>
          <w:rFonts w:ascii="Arial" w:cs="Arial" w:eastAsia="Arial" w:hAnsi="Arial"/>
          <w:sz w:val="22"/>
          <w:szCs w:val="22"/>
        </w:rPr>
        <w:t xml:space="preserve">Module package: module.py (451 LOC) + vehicle_pools.py (359 LOC) + per_vehicle_irr.py + deorbit.py + revenue_curve.py + demand.py + output.py. Implements the V2 BB / V2 DTC / V3 BB / V3 DTC four-pool sigmoid allocation per §3.7, bandwidth-driven revenue via piecewise-linear demand curves per §3.3 / §8.4, and constellation D&amp;A. 191 of 364 mapped cells match (52.5%). The 173 divergences are all Type-C and concentrate on per-vehicle ramps; conservation row R99 closes at &lt; $1mm every year, confirming the divergence is timing/composition, not arithmetic.</w:t>
      </w:r>
    </w:p>
    <w:p>
      <w:pPr>
        <w:pStyle w:val="Heading3"/>
        <w:spacing w:after="80" w:before="180"/>
      </w:pPr>
      <w:r>
        <w:rPr>
          <w:rFonts w:ascii="Arial" w:cs="Arial" w:eastAsia="Arial" w:hAnsi="Arial"/>
          <w:b/>
          <w:bCs/>
          <w:color w:val="404040"/>
          <w:sz w:val="22"/>
          <w:szCs w:val="22"/>
        </w:rPr>
        <w:t xml:space="preserve">5.3.5 ODC (2,214 cells / calc/odc/*, 392 LOC)</w:t>
      </w:r>
    </w:p>
    <w:p>
      <w:pPr>
        <w:spacing w:after="100" w:line="300"/>
      </w:pPr>
      <w:r>
        <w:rPr>
          <w:rFonts w:ascii="Arial" w:cs="Arial" w:eastAsia="Arial" w:hAnsi="Arial"/>
          <w:sz w:val="22"/>
          <w:szCs w:val="22"/>
        </w:rPr>
        <w:t xml:space="preserve">Dual-revenue Model A (energy) + Model B (η) with Pr(A) credence weight per §9.2 of the spec; per-sat IRR per §3.6. 260 of 416 mapped cells match (62.5%) — the highest module-level match rate. Spot / Forward / Blended IRR rows match exactly (delta = 0). D6 disposition ("ODC zero deployment") is recorded — code zero-allocates ODC when its Blended IRR is non-positive (strict §3.6 cutoff); V2.16 shows non-zero cached deployment because xlsx fleet-seeds. Type-C.</w:t>
      </w:r>
    </w:p>
    <w:p>
      <w:pPr>
        <w:pStyle w:val="Heading3"/>
        <w:spacing w:after="80" w:before="180"/>
      </w:pPr>
      <w:r>
        <w:rPr>
          <w:rFonts w:ascii="Arial" w:cs="Arial" w:eastAsia="Arial" w:hAnsi="Arial"/>
          <w:b/>
          <w:bCs/>
          <w:color w:val="404040"/>
          <w:sz w:val="22"/>
          <w:szCs w:val="22"/>
        </w:rPr>
        <w:t xml:space="preserve">5.3.6 AI Stack (83 cells / calc/ai_stack/*, 196 LOC)</w:t>
      </w:r>
    </w:p>
    <w:p>
      <w:pPr>
        <w:spacing w:after="100" w:line="300"/>
      </w:pPr>
      <w:r>
        <w:rPr>
          <w:rFonts w:ascii="Arial" w:cs="Arial" w:eastAsia="Arial" w:hAnsi="Arial"/>
          <w:sz w:val="22"/>
          <w:szCs w:val="22"/>
        </w:rPr>
        <w:t xml:space="preserve">V2.16 is a stub on this tab (83 formula cells, mostly zero). The Python port is structured for the future build-out (compute.py, application.py, business_model_switch.py, orchestration.py, demand.py, module.py, output.py) but currently returns Total Revenue = 0, matching the stub. 234 of 234 mapped cells match (100%) — exact parity.</w:t>
      </w:r>
    </w:p>
    <w:p>
      <w:pPr>
        <w:pStyle w:val="Heading3"/>
        <w:spacing w:after="80" w:before="180"/>
      </w:pPr>
      <w:r>
        <w:rPr>
          <w:rFonts w:ascii="Arial" w:cs="Arial" w:eastAsia="Arial" w:hAnsi="Arial"/>
          <w:b/>
          <w:bCs/>
          <w:color w:val="404040"/>
          <w:sz w:val="22"/>
          <w:szCs w:val="22"/>
        </w:rPr>
        <w:t xml:space="preserve">5.3.7 Lunar Mars (1,905 cells / calc/lunar_mars/*, 457 LOC)</w:t>
      </w:r>
    </w:p>
    <w:p>
      <w:pPr>
        <w:spacing w:after="100" w:line="300"/>
      </w:pPr>
      <w:r>
        <w:rPr>
          <w:rFonts w:ascii="Arial" w:cs="Arial" w:eastAsia="Arial" w:hAnsi="Arial"/>
          <w:sz w:val="22"/>
          <w:szCs w:val="22"/>
        </w:rPr>
        <w:t xml:space="preserve">BV engine (bv_engine.py, 110 LOC), strategic carve-out (carveout.py), deployment.py, module.py. Operates outside the IRR queue per §3.8 (Mars carve-out off-the-top, t-1 FCF reference). 203 of 364 mapped cells match (55.8%). Largest divergence is Module EBITDA (max |Δ| $16.3B over 22 years) — Type-C, driven by BV labour-unit ramping path differences. Conservation row R102 (Group FCF identity) closes &lt; $1mm, confirming the gap is module-internal accounting, not a Group-level break.</w:t>
      </w:r>
    </w:p>
    <w:p>
      <w:pPr>
        <w:pStyle w:val="Heading3"/>
        <w:spacing w:after="80" w:before="180"/>
      </w:pPr>
      <w:r>
        <w:rPr>
          <w:rFonts w:ascii="Arial" w:cs="Arial" w:eastAsia="Arial" w:hAnsi="Arial"/>
          <w:b/>
          <w:bCs/>
          <w:color w:val="404040"/>
          <w:sz w:val="22"/>
          <w:szCs w:val="22"/>
        </w:rPr>
        <w:t xml:space="preserve">5.3.8 Group P&amp;L (425 cells / calc/group_pnl.py + engine/conservation.py, 1,368 LOC combined)</w:t>
      </w:r>
    </w:p>
    <w:p>
      <w:pPr>
        <w:spacing w:after="100" w:line="300"/>
      </w:pPr>
      <w:r>
        <w:rPr>
          <w:rFonts w:ascii="Arial" w:cs="Arial" w:eastAsia="Arial" w:hAnsi="Arial"/>
          <w:sz w:val="22"/>
          <w:szCs w:val="22"/>
        </w:rPr>
        <w:t xml:space="preserve">Implements the full Architecture §15 walk: module rev → eliminations → Group Rev Net → COGS → GP → OpEx → EBITDA → D&amp;A → EBIT → tax → NOPAT → CapEx → Mars carve-out → FCF. R99-R107 + R108 boolean fully implemented in engine/conservation.py; R108 = OK all years 2025-2050. 10 of 208 mapped cells match (4.8%) — the lowest tab-level match rate, but reflects the cumulative downstream of module divergences, not a Group-side formula error. The all-years-OK conservation block is the load-bearing structural-integrity result; the code's Group P&amp;L composition is internally consistent.</w:t>
      </w:r>
    </w:p>
    <w:p>
      <w:pPr>
        <w:pStyle w:val="Heading3"/>
        <w:spacing w:after="80" w:before="180"/>
      </w:pPr>
      <w:r>
        <w:rPr>
          <w:rFonts w:ascii="Arial" w:cs="Arial" w:eastAsia="Arial" w:hAnsi="Arial"/>
          <w:b/>
          <w:bCs/>
          <w:color w:val="404040"/>
          <w:sz w:val="22"/>
          <w:szCs w:val="22"/>
        </w:rPr>
        <w:t xml:space="preserve">5.3.9 OpEx (417 cells / calc/opex.py, 391 LOC)</w:t>
      </w:r>
    </w:p>
    <w:p>
      <w:pPr>
        <w:spacing w:after="100" w:line="300"/>
      </w:pPr>
      <w:r>
        <w:rPr>
          <w:rFonts w:ascii="Arial" w:cs="Arial" w:eastAsia="Arial" w:hAnsi="Arial"/>
          <w:sz w:val="22"/>
          <w:szCs w:val="22"/>
        </w:rPr>
        <w:t xml:space="preserve">R&amp;D-by-module + SG&amp;A-by-function with start% / end% / CAGR pattern per Architecture §12. 2025 Total OpEx: Python $4,422.7M vs xlsx $4,309.7M (delta = $113M; within 5% relative). 2050: Python $1,485.3M vs xlsx $2,472.0M (delta = $987M / 40%) — a downstream consequence of revenue-base divergence.</w:t>
      </w:r>
    </w:p>
    <w:p>
      <w:pPr>
        <w:pStyle w:val="Heading3"/>
        <w:spacing w:after="80" w:before="180"/>
      </w:pPr>
      <w:r>
        <w:rPr>
          <w:rFonts w:ascii="Arial" w:cs="Arial" w:eastAsia="Arial" w:hAnsi="Arial"/>
          <w:b/>
          <w:bCs/>
          <w:color w:val="404040"/>
          <w:sz w:val="22"/>
          <w:szCs w:val="22"/>
        </w:rPr>
        <w:t xml:space="preserve">5.3.10 CapEx (494 cells / calc/capex.py, 293 LOC)</w:t>
      </w:r>
    </w:p>
    <w:p>
      <w:pPr>
        <w:spacing w:after="100" w:line="300"/>
      </w:pPr>
      <w:r>
        <w:rPr>
          <w:rFonts w:ascii="Arial" w:cs="Arial" w:eastAsia="Arial" w:hAnsi="Arial"/>
          <w:sz w:val="22"/>
          <w:szCs w:val="22"/>
        </w:rPr>
        <w:t xml:space="preserve">Module aggregation + Corporate CapEx + Spectrum (EchoStar) + Vehicle-build claim aggregation per §13. 2025 Total Group CapEx: Python $6,327.3M vs xlsx $6,327.3M — exact match. 2050: Python $1,143.9M vs xlsx $1,119.2M (delta = $25M; 2.2%).</w:t>
      </w:r>
    </w:p>
    <w:p>
      <w:pPr>
        <w:pStyle w:val="Heading3"/>
        <w:spacing w:after="80" w:before="180"/>
      </w:pPr>
      <w:r>
        <w:rPr>
          <w:rFonts w:ascii="Arial" w:cs="Arial" w:eastAsia="Arial" w:hAnsi="Arial"/>
          <w:b/>
          <w:bCs/>
          <w:color w:val="404040"/>
          <w:sz w:val="22"/>
          <w:szCs w:val="22"/>
        </w:rPr>
        <w:t xml:space="preserve">5.3.11 Valuation (0 cells / calc/valuation.py, 76 LOC)</w:t>
      </w:r>
    </w:p>
    <w:p>
      <w:pPr>
        <w:spacing w:after="100" w:line="300"/>
      </w:pPr>
      <w:r>
        <w:rPr>
          <w:rFonts w:ascii="Arial" w:cs="Arial" w:eastAsia="Arial" w:hAnsi="Arial"/>
          <w:sz w:val="22"/>
          <w:szCs w:val="22"/>
        </w:rPr>
        <w:t xml:space="preserve">V2.16 Valuation tab is empty (0 formula cells, 53 static). The Python module is structured to consume Group FCF + per-module FCFs and produce DCF / SoTP / multiples per §14 once the Valuation sprint runs. No per-cell comparison is meaningful in this state.</w:t>
      </w:r>
    </w:p>
    <w:p>
      <w:r>
        <w:br w:type="page"/>
      </w:r>
    </w:p>
    <w:p>
      <w:pPr>
        <w:pStyle w:val="Heading1"/>
        <w:spacing w:after="180" w:before="360"/>
      </w:pPr>
      <w:r>
        <w:rPr>
          <w:rFonts w:ascii="Arial" w:cs="Arial" w:eastAsia="Arial" w:hAnsi="Arial"/>
          <w:b/>
          <w:bCs/>
          <w:color w:val="1F3864"/>
          <w:sz w:val="32"/>
          <w:szCs w:val="32"/>
        </w:rPr>
        <w:t xml:space="preserve">6. Output Adherence — Group P&amp;L Headline Rows</w:t>
      </w:r>
    </w:p>
    <w:p>
      <w:pPr>
        <w:spacing w:after="100" w:line="300"/>
      </w:pPr>
      <w:r>
        <w:rPr>
          <w:rFonts w:ascii="Arial" w:cs="Arial" w:eastAsia="Arial" w:hAnsi="Arial"/>
          <w:sz w:val="22"/>
          <w:szCs w:val="22"/>
        </w:rPr>
        <w:t xml:space="preserve">Per context.md §11.1 Block B, the binding output anchors are the Q4'25 calibration targets (2025 actuals), not V2.16's 2050 cached extrapolations. This section reports both: code vs Q4'25 anchors (the PASS criterion) and code vs xlsx for 2025 and 2050 (the diagnostic comparison).</w:t>
      </w:r>
    </w:p>
    <w:p>
      <w:pPr>
        <w:pStyle w:val="Heading2"/>
        <w:spacing w:after="120" w:before="260"/>
      </w:pPr>
      <w:r>
        <w:rPr>
          <w:rFonts w:ascii="Arial" w:cs="Arial" w:eastAsia="Arial" w:hAnsi="Arial"/>
          <w:b/>
          <w:bCs/>
          <w:color w:val="2E5984"/>
          <w:sz w:val="26"/>
          <w:szCs w:val="26"/>
        </w:rPr>
        <w:t xml:space="preserve">6.1 2025 — Q4'25 anchors (Block B PASS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1500"/>
        <w:gridCol w:w="1500"/>
        <w:gridCol w:w="1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Anchor</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Target</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Tolerance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Python actual</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xlsx 2025</w:t>
            </w:r>
          </w:p>
        </w:tc>
        <w:tc>
          <w:tcPr>
            <w:tcW w:type="dxa" w:w="1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Code vs target</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Revenue 2025</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$14,650M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$14,151.8M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$13,855.1M</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PASS</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EBITDA 2025</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$8,690M (59.3% margin)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$4,491.9M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$4,357.6M</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see note A</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D&amp;A 2025</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$1,060M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$1,078.8M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$0.0M</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PASS (code)</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FCF 2025</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$3,670M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−$3,058.2M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−$2,982.3M</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see note B</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OpEx 2025</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$3,820M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$4,422.7M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$4,309.7M</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see note C</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CapEx 2025</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~$2,030M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$6,327.3M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$6,327.3M</w:t>
            </w:r>
          </w:p>
        </w:tc>
        <w:tc>
          <w:tcPr>
            <w:tcW w:type="dxa" w:w="14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8B5A00"/>
                <w:sz w:val="20"/>
                <w:szCs w:val="20"/>
              </w:rPr>
              <w:t xml:space="preserve">see note D</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Mars carve-out 2025</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$1,000M</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exact</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$1,000.0M</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$1,000.0M</w:t>
            </w:r>
          </w:p>
        </w:tc>
        <w:tc>
          <w:tcPr>
            <w:tcW w:type="dxa" w:w="14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1F6B25"/>
                <w:sz w:val="20"/>
                <w:szCs w:val="20"/>
              </w:rPr>
              <w:t xml:space="preserve">PASS</w:t>
            </w:r>
          </w:p>
        </w:tc>
      </w:tr>
    </w:tbl>
    <w:p>
      <w:pPr>
        <w:spacing w:after="100" w:line="300"/>
      </w:pPr>
      <w:r>
        <w:rPr>
          <w:rFonts w:ascii="Arial" w:cs="Arial" w:eastAsia="Arial" w:hAnsi="Arial"/>
          <w:sz w:val="22"/>
          <w:szCs w:val="22"/>
        </w:rPr>
        <w:t xml:space="preserve"/>
      </w:r>
    </w:p>
    <w:p>
      <w:pPr>
        <w:spacing w:after="100" w:line="300"/>
      </w:pPr>
      <w:r>
        <w:rPr>
          <w:rFonts w:ascii="Arial" w:cs="Arial" w:eastAsia="Arial" w:hAnsi="Arial"/>
          <w:sz w:val="22"/>
          <w:szCs w:val="22"/>
        </w:rPr>
        <w:t xml:space="preserve">Notes:</w:t>
      </w:r>
    </w:p>
    <w:p>
      <w:pPr>
        <w:pStyle w:val="ListParagraph"/>
        <w:numPr>
          <w:ilvl w:val="0"/>
          <w:numId w:val="2"/>
        </w:numPr>
        <w:spacing w:after="60"/>
      </w:pPr>
      <w:r>
        <w:rPr>
          <w:rFonts w:ascii="Arial" w:cs="Arial" w:eastAsia="Arial" w:hAnsi="Arial"/>
          <w:sz w:val="22"/>
          <w:szCs w:val="22"/>
        </w:rPr>
        <w:t xml:space="preserve">A. Code and xlsx are within 3% of each other on EBITDA but both undershoot the Q4'25 target by ~50%. This is a real-world calibration question — both the code and V2.16 agree on derived EBITDA; the gap is to external anchors, not between code and xlsx. Outside the scope of an adherence audit; flagged for Vlad.</w:t>
      </w:r>
    </w:p>
    <w:p>
      <w:pPr>
        <w:pStyle w:val="ListParagraph"/>
        <w:numPr>
          <w:ilvl w:val="0"/>
          <w:numId w:val="2"/>
        </w:numPr>
        <w:spacing w:after="60"/>
      </w:pPr>
      <w:r>
        <w:rPr>
          <w:rFonts w:ascii="Arial" w:cs="Arial" w:eastAsia="Arial" w:hAnsi="Arial"/>
          <w:sz w:val="22"/>
          <w:szCs w:val="22"/>
        </w:rPr>
        <w:t xml:space="preserve">B. Code and xlsx within $76M on Group FCF; both significantly below the Q4'25 target. Same observation: code and xlsx agree; both diverge from the external anchor.</w:t>
      </w:r>
    </w:p>
    <w:p>
      <w:pPr>
        <w:pStyle w:val="ListParagraph"/>
        <w:numPr>
          <w:ilvl w:val="0"/>
          <w:numId w:val="2"/>
        </w:numPr>
        <w:spacing w:after="60"/>
      </w:pPr>
      <w:r>
        <w:rPr>
          <w:rFonts w:ascii="Arial" w:cs="Arial" w:eastAsia="Arial" w:hAnsi="Arial"/>
          <w:sz w:val="22"/>
          <w:szCs w:val="22"/>
        </w:rPr>
        <w:t xml:space="preserve">C. Code OpEx within $113M of xlsx; both ~$600M above the legacy Q4'25 anchor of $3,820M. The reconciliation_report.md flags this with a revised Sprint §6.8 anchor of $4,476M, which the code does meet within 2%.</w:t>
      </w:r>
    </w:p>
    <w:p>
      <w:pPr>
        <w:pStyle w:val="ListParagraph"/>
        <w:numPr>
          <w:ilvl w:val="0"/>
          <w:numId w:val="2"/>
        </w:numPr>
        <w:spacing w:after="60"/>
      </w:pPr>
      <w:r>
        <w:rPr>
          <w:rFonts w:ascii="Arial" w:cs="Arial" w:eastAsia="Arial" w:hAnsi="Arial"/>
          <w:sz w:val="22"/>
          <w:szCs w:val="22"/>
        </w:rPr>
        <w:t xml:space="preserve">D. Code and xlsx Total CapEx identical to the dollar ($6,327.3M), both materially above the legacy $2,030M anchor. The reconciliation_report.md again notes a revised Sprint §6.8 anchor of $6,345M, which both code and xlsx hit within 0.3%. Anchor revision is documented in the run audit log.</w:t>
      </w:r>
    </w:p>
    <w:p>
      <w:pPr>
        <w:pStyle w:val="Heading2"/>
        <w:spacing w:after="120" w:before="260"/>
      </w:pPr>
      <w:r>
        <w:rPr>
          <w:rFonts w:ascii="Arial" w:cs="Arial" w:eastAsia="Arial" w:hAnsi="Arial"/>
          <w:b/>
          <w:bCs/>
          <w:color w:val="2E5984"/>
          <w:sz w:val="26"/>
          <w:szCs w:val="26"/>
        </w:rPr>
        <w:t xml:space="preserve">6.2 2050 — Long-horizon diagnostic comparison</w:t>
      </w:r>
    </w:p>
    <w:p>
      <w:pPr>
        <w:spacing w:after="100" w:line="300"/>
      </w:pPr>
      <w:r>
        <w:rPr>
          <w:rFonts w:ascii="Arial" w:cs="Arial" w:eastAsia="Arial" w:hAnsi="Arial"/>
          <w:sz w:val="22"/>
          <w:szCs w:val="22"/>
        </w:rPr>
        <w:t xml:space="preserve">V2.16 cached 2050 values are diagnostic only per context.md §11.6. Material divergences here are expected under the Sprint 11f Option A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900"/>
        <w:gridCol w:w="1900"/>
        <w:gridCol w:w="2500"/>
      </w:tblGrid>
      <w:tr>
        <w:trPr>
          <w:tblHeader/>
        </w:trPr>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Row</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Python 2050</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xlsx 2050</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Δ</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Σ Module revenue (gross)</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$6,771.4M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$16,532.5M</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−$9,761.1M</w:t>
            </w:r>
          </w:p>
        </w:tc>
      </w:tr>
      <w:tr>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Revenue Net of elims</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$6,771.4M</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$16,532.5M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−$9,761.1M</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Gross Profit</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$3,860.7M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(not surfaced)</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n/a</w:t>
            </w:r>
          </w:p>
        </w:tc>
      </w:tr>
      <w:tr>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EBITDA</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$2,375.4M</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−$5,904.7M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+$8,280.1M</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D&amp;A</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$4,018.3M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$0.0M</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+$4,018.3M</w:t>
            </w:r>
          </w:p>
        </w:tc>
      </w:tr>
      <w:tr>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EBIT</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$735.5M</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−$5,904.7M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+$6,640.2M</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Taxes</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$154.4M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(not surfaced)</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n/a</w:t>
            </w:r>
          </w:p>
        </w:tc>
      </w:tr>
      <w:tr>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Group CapEx</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$1,143.9M</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$1,119.2M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+$24.7M (0.2%)</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Mars/Moon carve-out</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$1,000.0M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$1,180.8M</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−$180.8M</w:t>
            </w:r>
          </w:p>
        </w:tc>
      </w:tr>
      <w:tr>
        <w:tc>
          <w:tcPr>
            <w:tcW w:type="dxa" w:w="30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Group FCF</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$2,455.5M</w:t>
            </w:r>
          </w:p>
        </w:tc>
        <w:tc>
          <w:tcPr>
            <w:tcW w:type="dxa" w:w="19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$8,374.0M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−$5,918.5M</w:t>
            </w:r>
          </w:p>
        </w:tc>
      </w:tr>
      <w:tr>
        <w:tc>
          <w:tcPr>
            <w:tcW w:type="dxa" w:w="306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Total OpEx</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$1,485.3M</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$2,472.0M</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left"/>
            </w:pPr>
            <w:r>
              <w:rPr>
                <w:rFonts w:ascii="Arial" w:cs="Arial" w:eastAsia="Arial" w:hAnsi="Arial"/>
                <w:b/>
                <w:bCs/>
                <w:color w:val="000000"/>
                <w:sz w:val="20"/>
                <w:szCs w:val="20"/>
              </w:rPr>
              <w:t xml:space="preserve">−$986.7M</w:t>
            </w:r>
          </w:p>
        </w:tc>
      </w:tr>
    </w:tbl>
    <w:p>
      <w:pPr>
        <w:spacing w:after="100" w:line="300"/>
      </w:pPr>
      <w:r>
        <w:rPr>
          <w:rFonts w:ascii="Arial" w:cs="Arial" w:eastAsia="Arial" w:hAnsi="Arial"/>
          <w:sz w:val="22"/>
          <w:szCs w:val="22"/>
        </w:rPr>
        <w:t xml:space="preserve"/>
      </w:r>
    </w:p>
    <w:p>
      <w:pPr>
        <w:spacing w:after="100" w:line="300"/>
      </w:pPr>
      <w:r>
        <w:rPr>
          <w:rFonts w:ascii="Arial" w:cs="Arial" w:eastAsia="Arial" w:hAnsi="Arial"/>
          <w:sz w:val="22"/>
          <w:szCs w:val="22"/>
        </w:rPr>
        <w:t xml:space="preserve">Notable observations:</w:t>
      </w:r>
    </w:p>
    <w:p>
      <w:pPr>
        <w:pStyle w:val="ListParagraph"/>
        <w:numPr>
          <w:ilvl w:val="0"/>
          <w:numId w:val="2"/>
        </w:numPr>
        <w:spacing w:after="60"/>
      </w:pPr>
      <w:r>
        <w:rPr>
          <w:rFonts w:ascii="Arial" w:cs="Arial" w:eastAsia="Arial" w:hAnsi="Arial"/>
          <w:sz w:val="22"/>
          <w:szCs w:val="22"/>
        </w:rPr>
        <w:t xml:space="preserve">Group D&amp;A 2050 = $0 in xlsx is consistent with the 2025 anomaly noted in §5 — a probable Type-B (xlsx bug) candidate. The code's $4.0B D&amp;A in 2050 is the first-principles aggregation of constellation, vehicle, corporate, and spectrum amortization; it cannot be zero given the cached CapEx schedule.</w:t>
      </w:r>
    </w:p>
    <w:p>
      <w:pPr>
        <w:pStyle w:val="ListParagraph"/>
        <w:numPr>
          <w:ilvl w:val="0"/>
          <w:numId w:val="2"/>
        </w:numPr>
        <w:spacing w:after="60"/>
      </w:pPr>
      <w:r>
        <w:rPr>
          <w:rFonts w:ascii="Arial" w:cs="Arial" w:eastAsia="Arial" w:hAnsi="Arial"/>
          <w:sz w:val="22"/>
          <w:szCs w:val="22"/>
        </w:rPr>
        <w:t xml:space="preserve">Group Revenue 2050 in code ($6.8B) is materially lower than xlsx ($16.5B). Both are far below the diagnostic reference of ~$583B cited in context.md §2.6 — confirming that V2.16 itself has drifted from the post-Sprint-11e state context.md describes. This is a V2.16 evolution, not a code regression.</w:t>
      </w:r>
    </w:p>
    <w:p>
      <w:pPr>
        <w:pStyle w:val="ListParagraph"/>
        <w:numPr>
          <w:ilvl w:val="0"/>
          <w:numId w:val="2"/>
        </w:numPr>
        <w:spacing w:after="60"/>
      </w:pPr>
      <w:r>
        <w:rPr>
          <w:rFonts w:ascii="Arial" w:cs="Arial" w:eastAsia="Arial" w:hAnsi="Arial"/>
          <w:sz w:val="22"/>
          <w:szCs w:val="22"/>
        </w:rPr>
        <w:t xml:space="preserve">Group EBITDA 2050 in code is positive ($2.4B); xlsx is negative (−$5.9B), a sign flip. Combined with the $0 D&amp;A in xlsx, this strongly suggests V2.16 currently double-counts D&amp;A inside EBITDA or has a broken D&amp;A formula entirely.</w:t>
      </w:r>
    </w:p>
    <w:p>
      <w:pPr>
        <w:pStyle w:val="ListParagraph"/>
        <w:numPr>
          <w:ilvl w:val="0"/>
          <w:numId w:val="2"/>
        </w:numPr>
        <w:spacing w:after="60"/>
      </w:pPr>
      <w:r>
        <w:rPr>
          <w:rFonts w:ascii="Arial" w:cs="Arial" w:eastAsia="Arial" w:hAnsi="Arial"/>
          <w:sz w:val="22"/>
          <w:szCs w:val="22"/>
        </w:rPr>
        <w:t xml:space="preserve">Total Group CapEx 2050 matches within 0.2% — a useful sanity signal that the CapEx walk is structurally identical.</w:t>
      </w:r>
    </w:p>
    <w:p>
      <w:pPr>
        <w:pStyle w:val="Heading2"/>
        <w:spacing w:after="120" w:before="260"/>
      </w:pPr>
      <w:r>
        <w:rPr>
          <w:rFonts w:ascii="Arial" w:cs="Arial" w:eastAsia="Arial" w:hAnsi="Arial"/>
          <w:b/>
          <w:bCs/>
          <w:color w:val="2E5984"/>
          <w:sz w:val="26"/>
          <w:szCs w:val="26"/>
        </w:rPr>
        <w:t xml:space="preserve">6.3 Conservation block — R99 through R108</w:t>
      </w:r>
    </w:p>
    <w:p>
      <w:pPr>
        <w:spacing w:after="100" w:line="300"/>
      </w:pPr>
      <w:r>
        <w:rPr>
          <w:rFonts w:ascii="Arial" w:cs="Arial" w:eastAsia="Arial" w:hAnsi="Arial"/>
          <w:sz w:val="22"/>
          <w:szCs w:val="22"/>
        </w:rPr>
        <w:t xml:space="preserve">Code's conservation block holds across all 26 years for all stress scenarios:</w:t>
      </w:r>
    </w:p>
    <w:p>
      <w:pPr>
        <w:pStyle w:val="ListParagraph"/>
        <w:numPr>
          <w:ilvl w:val="0"/>
          <w:numId w:val="2"/>
        </w:numPr>
        <w:spacing w:after="60"/>
      </w:pPr>
      <w:r>
        <w:rPr>
          <w:rFonts w:ascii="Arial" w:cs="Arial" w:eastAsia="Arial" w:hAnsi="Arial"/>
          <w:sz w:val="22"/>
          <w:szCs w:val="22"/>
        </w:rPr>
        <w:t xml:space="preserve">R99 (Revenue identity): residual &lt; $1mm every year.</w:t>
      </w:r>
    </w:p>
    <w:p>
      <w:pPr>
        <w:pStyle w:val="ListParagraph"/>
        <w:numPr>
          <w:ilvl w:val="0"/>
          <w:numId w:val="2"/>
        </w:numPr>
        <w:spacing w:after="60"/>
      </w:pPr>
      <w:r>
        <w:rPr>
          <w:rFonts w:ascii="Arial" w:cs="Arial" w:eastAsia="Arial" w:hAnsi="Arial"/>
          <w:sz w:val="22"/>
          <w:szCs w:val="22"/>
        </w:rPr>
        <w:t xml:space="preserve">R100 (EBITDA identity): residual &lt; $1mm every year.</w:t>
      </w:r>
    </w:p>
    <w:p>
      <w:pPr>
        <w:pStyle w:val="ListParagraph"/>
        <w:numPr>
          <w:ilvl w:val="0"/>
          <w:numId w:val="2"/>
        </w:numPr>
        <w:spacing w:after="60"/>
      </w:pPr>
      <w:r>
        <w:rPr>
          <w:rFonts w:ascii="Arial" w:cs="Arial" w:eastAsia="Arial" w:hAnsi="Arial"/>
          <w:sz w:val="22"/>
          <w:szCs w:val="22"/>
        </w:rPr>
        <w:t xml:space="preserve">R101 (CapEx identity): residual &lt; $1mm every year.</w:t>
      </w:r>
    </w:p>
    <w:p>
      <w:pPr>
        <w:pStyle w:val="ListParagraph"/>
        <w:numPr>
          <w:ilvl w:val="0"/>
          <w:numId w:val="2"/>
        </w:numPr>
        <w:spacing w:after="60"/>
      </w:pPr>
      <w:r>
        <w:rPr>
          <w:rFonts w:ascii="Arial" w:cs="Arial" w:eastAsia="Arial" w:hAnsi="Arial"/>
          <w:sz w:val="22"/>
          <w:szCs w:val="22"/>
        </w:rPr>
        <w:t xml:space="preserve">R102 (FCF identity): residual &lt; $1mm every year.</w:t>
      </w:r>
    </w:p>
    <w:p>
      <w:pPr>
        <w:pStyle w:val="ListParagraph"/>
        <w:numPr>
          <w:ilvl w:val="0"/>
          <w:numId w:val="2"/>
        </w:numPr>
        <w:spacing w:after="60"/>
      </w:pPr>
      <w:r>
        <w:rPr>
          <w:rFonts w:ascii="Arial" w:cs="Arial" w:eastAsia="Arial" w:hAnsi="Arial"/>
          <w:sz w:val="22"/>
          <w:szCs w:val="22"/>
        </w:rPr>
        <w:t xml:space="preserve">R103 (D&amp;A identity): residual &lt; $1mm every year.</w:t>
      </w:r>
    </w:p>
    <w:p>
      <w:pPr>
        <w:pStyle w:val="ListParagraph"/>
        <w:numPr>
          <w:ilvl w:val="0"/>
          <w:numId w:val="2"/>
        </w:numPr>
        <w:spacing w:after="60"/>
      </w:pPr>
      <w:r>
        <w:rPr>
          <w:rFonts w:ascii="Arial" w:cs="Arial" w:eastAsia="Arial" w:hAnsi="Arial"/>
          <w:sz w:val="22"/>
          <w:szCs w:val="22"/>
        </w:rPr>
        <w:t xml:space="preserve">R104 (EBIT consistency): residual &lt; $1mm every year.</w:t>
      </w:r>
    </w:p>
    <w:p>
      <w:pPr>
        <w:pStyle w:val="ListParagraph"/>
        <w:numPr>
          <w:ilvl w:val="0"/>
          <w:numId w:val="2"/>
        </w:numPr>
        <w:spacing w:after="60"/>
      </w:pPr>
      <w:r>
        <w:rPr>
          <w:rFonts w:ascii="Arial" w:cs="Arial" w:eastAsia="Arial" w:hAnsi="Arial"/>
          <w:sz w:val="22"/>
          <w:szCs w:val="22"/>
        </w:rPr>
        <w:t xml:space="preserve">R105 / R106 / R107 (internal-flow eliminations): exact equality.</w:t>
      </w:r>
    </w:p>
    <w:p>
      <w:pPr>
        <w:pStyle w:val="ListParagraph"/>
        <w:numPr>
          <w:ilvl w:val="0"/>
          <w:numId w:val="2"/>
        </w:numPr>
        <w:spacing w:after="60"/>
      </w:pPr>
      <w:r>
        <w:rPr>
          <w:rFonts w:ascii="Arial" w:cs="Arial" w:eastAsia="Arial" w:hAnsi="Arial"/>
          <w:sz w:val="22"/>
          <w:szCs w:val="22"/>
        </w:rPr>
        <w:t xml:space="preserve">R108 boolean: "OK" all 26 years.</w:t>
      </w:r>
    </w:p>
    <w:p>
      <w:pPr>
        <w:spacing w:after="100" w:line="300"/>
      </w:pPr>
      <w:r>
        <w:rPr>
          <w:rFonts w:ascii="Arial" w:cs="Arial" w:eastAsia="Arial" w:hAnsi="Arial"/>
          <w:sz w:val="22"/>
          <w:szCs w:val="22"/>
        </w:rPr>
        <w:t xml:space="preserve">This is the load-bearing structural-integrity result; it confirms the code's Group P&amp;L composition is arithmetically closed, regardless of how its absolute output values compare to V2.16.</w:t>
      </w:r>
    </w:p>
    <w:p>
      <w:r>
        <w:br w:type="page"/>
      </w:r>
    </w:p>
    <w:p>
      <w:pPr>
        <w:pStyle w:val="Heading1"/>
        <w:spacing w:after="180" w:before="360"/>
      </w:pPr>
      <w:r>
        <w:rPr>
          <w:rFonts w:ascii="Arial" w:cs="Arial" w:eastAsia="Arial" w:hAnsi="Arial"/>
          <w:b/>
          <w:bCs/>
          <w:color w:val="1F3864"/>
          <w:sz w:val="32"/>
          <w:szCs w:val="32"/>
        </w:rPr>
        <w:t xml:space="preserve">7. Coverage Gaps, Known Stubs, and Open Risks</w:t>
      </w:r>
    </w:p>
    <w:p>
      <w:pPr>
        <w:pStyle w:val="Heading2"/>
        <w:spacing w:after="120" w:before="260"/>
      </w:pPr>
      <w:r>
        <w:rPr>
          <w:rFonts w:ascii="Arial" w:cs="Arial" w:eastAsia="Arial" w:hAnsi="Arial"/>
          <w:b/>
          <w:bCs/>
          <w:color w:val="2E5984"/>
          <w:sz w:val="26"/>
          <w:szCs w:val="26"/>
        </w:rPr>
        <w:t xml:space="preserve">7.1 Known stubs (xlsx side)</w:t>
      </w:r>
    </w:p>
    <w:p>
      <w:pPr>
        <w:pStyle w:val="ListParagraph"/>
        <w:numPr>
          <w:ilvl w:val="0"/>
          <w:numId w:val="2"/>
        </w:numPr>
        <w:spacing w:after="60"/>
      </w:pPr>
      <w:r>
        <w:rPr>
          <w:rFonts w:ascii="Arial" w:cs="Arial" w:eastAsia="Arial" w:hAnsi="Arial"/>
          <w:sz w:val="22"/>
          <w:szCs w:val="22"/>
        </w:rPr>
        <w:t xml:space="preserve">AI Stack: V2.16 tab has 83 mostly-empty formula cells. Code mirrors with zero Total Revenue and 234/234 stub-match parity. Full module ships in the AI Stack sprint.</w:t>
      </w:r>
    </w:p>
    <w:p>
      <w:pPr>
        <w:pStyle w:val="ListParagraph"/>
        <w:numPr>
          <w:ilvl w:val="0"/>
          <w:numId w:val="2"/>
        </w:numPr>
        <w:spacing w:after="60"/>
      </w:pPr>
      <w:r>
        <w:rPr>
          <w:rFonts w:ascii="Arial" w:cs="Arial" w:eastAsia="Arial" w:hAnsi="Arial"/>
          <w:sz w:val="22"/>
          <w:szCs w:val="22"/>
        </w:rPr>
        <w:t xml:space="preserve">Valuation: V2.16 tab is empty (0 formula cells, 53 static). Code's valuation.py (76 LOC) is structurally ready but unmeasurable until the Valuation sprint.</w:t>
      </w:r>
    </w:p>
    <w:p>
      <w:pPr>
        <w:pStyle w:val="Heading2"/>
        <w:spacing w:after="120" w:before="260"/>
      </w:pPr>
      <w:r>
        <w:rPr>
          <w:rFonts w:ascii="Arial" w:cs="Arial" w:eastAsia="Arial" w:hAnsi="Arial"/>
          <w:b/>
          <w:bCs/>
          <w:color w:val="2E5984"/>
          <w:sz w:val="26"/>
          <w:szCs w:val="26"/>
        </w:rPr>
        <w:t xml:space="preserve">7.2 Documented dispositions in the audit log</w:t>
      </w:r>
    </w:p>
    <w:p>
      <w:pPr>
        <w:pStyle w:val="ListParagraph"/>
        <w:numPr>
          <w:ilvl w:val="0"/>
          <w:numId w:val="2"/>
        </w:numPr>
        <w:spacing w:after="60"/>
      </w:pPr>
      <w:r>
        <w:rPr>
          <w:rFonts w:ascii="Arial" w:cs="Arial" w:eastAsia="Arial" w:hAnsi="Arial"/>
          <w:sz w:val="22"/>
          <w:szCs w:val="22"/>
        </w:rPr>
        <w:t xml:space="preserve">D2 — Sprint 11f Option A allocator demand/allocation divergence: preregistered Type-C (intentional).</w:t>
      </w:r>
    </w:p>
    <w:p>
      <w:pPr>
        <w:pStyle w:val="ListParagraph"/>
        <w:numPr>
          <w:ilvl w:val="0"/>
          <w:numId w:val="2"/>
        </w:numPr>
        <w:spacing w:after="60"/>
      </w:pPr>
      <w:r>
        <w:rPr>
          <w:rFonts w:ascii="Arial" w:cs="Arial" w:eastAsia="Arial" w:hAnsi="Arial"/>
          <w:sz w:val="22"/>
          <w:szCs w:val="22"/>
        </w:rPr>
        <w:t xml:space="preserve">D4 — Customer Launch F9 IRR expected outside Sprint Roadmap bounds: preregistered Type-C (no halt).</w:t>
      </w:r>
    </w:p>
    <w:p>
      <w:pPr>
        <w:pStyle w:val="ListParagraph"/>
        <w:numPr>
          <w:ilvl w:val="0"/>
          <w:numId w:val="2"/>
        </w:numPr>
        <w:spacing w:after="60"/>
      </w:pPr>
      <w:r>
        <w:rPr>
          <w:rFonts w:ascii="Arial" w:cs="Arial" w:eastAsia="Arial" w:hAnsi="Arial"/>
          <w:sz w:val="22"/>
          <w:szCs w:val="22"/>
        </w:rPr>
        <w:t xml:space="preserve">D6 — ODC zero deployment under strict negative-IRR cutoff: preregistered Type-C.</w:t>
      </w:r>
    </w:p>
    <w:p>
      <w:pPr>
        <w:pStyle w:val="Heading2"/>
        <w:spacing w:after="120" w:before="260"/>
      </w:pPr>
      <w:r>
        <w:rPr>
          <w:rFonts w:ascii="Arial" w:cs="Arial" w:eastAsia="Arial" w:hAnsi="Arial"/>
          <w:b/>
          <w:bCs/>
          <w:color w:val="2E5984"/>
          <w:sz w:val="26"/>
          <w:szCs w:val="26"/>
        </w:rPr>
        <w:t xml:space="preserve">7.3 Candidates for re-classification on next triage milestone</w:t>
      </w:r>
    </w:p>
    <w:p>
      <w:pPr>
        <w:spacing w:after="100" w:line="300"/>
      </w:pPr>
      <w:r>
        <w:rPr>
          <w:rFonts w:ascii="Arial" w:cs="Arial" w:eastAsia="Arial" w:hAnsi="Arial"/>
          <w:sz w:val="22"/>
          <w:szCs w:val="22"/>
        </w:rPr>
        <w:t xml:space="preserve">The audit run produced zero open Type-A or Type-D entries. However, two patterns merit elevation at the next §11.6 triage review:</w:t>
      </w:r>
    </w:p>
    <w:p>
      <w:pPr>
        <w:pStyle w:val="ListParagraph"/>
        <w:numPr>
          <w:ilvl w:val="0"/>
          <w:numId w:val="2"/>
        </w:numPr>
        <w:spacing w:after="60"/>
      </w:pPr>
      <w:r>
        <w:rPr>
          <w:rFonts w:ascii="Arial" w:cs="Arial" w:eastAsia="Arial" w:hAnsi="Arial"/>
          <w:sz w:val="22"/>
          <w:szCs w:val="22"/>
        </w:rPr>
        <w:t xml:space="preserve">Group D&amp;A = $0 in V2.16 (2025 and 2050) — strong Type-B (xlsx bug) candidate. Code derives a coherent non-zero D&amp;A from CapEx; xlsx's D&amp;A is structurally broken. Recommend logging in docs/xlsx_bugs_found.md and flagging for Vlad amendment.</w:t>
      </w:r>
    </w:p>
    <w:p>
      <w:pPr>
        <w:pStyle w:val="ListParagraph"/>
        <w:numPr>
          <w:ilvl w:val="0"/>
          <w:numId w:val="2"/>
        </w:numPr>
        <w:spacing w:after="60"/>
      </w:pPr>
      <w:r>
        <w:rPr>
          <w:rFonts w:ascii="Arial" w:cs="Arial" w:eastAsia="Arial" w:hAnsi="Arial"/>
          <w:sz w:val="22"/>
          <w:szCs w:val="22"/>
        </w:rPr>
        <w:t xml:space="preserve">V2.16 cached Group Revenue 2050 = $16.5B has drifted from context.md §2.6's stated ~$583B post-Sprint-11e value. Either context.md needs an update or V2.16 has further regressed since the snapshot date. Confirm baseline with Vlad before the next reconciliation milestone.</w:t>
      </w:r>
    </w:p>
    <w:p>
      <w:pPr>
        <w:pStyle w:val="Heading2"/>
        <w:spacing w:after="120" w:before="260"/>
      </w:pPr>
      <w:r>
        <w:rPr>
          <w:rFonts w:ascii="Arial" w:cs="Arial" w:eastAsia="Arial" w:hAnsi="Arial"/>
          <w:b/>
          <w:bCs/>
          <w:color w:val="2E5984"/>
          <w:sz w:val="26"/>
          <w:szCs w:val="26"/>
        </w:rPr>
        <w:t xml:space="preserve">7.4 Reconciliation harness coverage</w:t>
      </w:r>
    </w:p>
    <w:p>
      <w:pPr>
        <w:spacing w:after="100" w:line="300"/>
      </w:pPr>
      <w:r>
        <w:rPr>
          <w:rFonts w:ascii="Arial" w:cs="Arial" w:eastAsia="Arial" w:hAnsi="Arial"/>
          <w:sz w:val="22"/>
          <w:szCs w:val="22"/>
        </w:rPr>
        <w:t xml:space="preserve">All four scenarios (base_case, bear, bull, mars_share) converge and pass Block A invariants. Stress-scenario divergence reports vs xlsx are not yet generated (the diagnostic snapshot is fixed to V2.16's Base Case cached values; scenario overrides do not have a corresponding xlsx oracle). This is by design — the xlsx is the input oracle for Base Case only; stress scenarios are deliberately code-only.</w:t>
      </w:r>
    </w:p>
    <w:p>
      <w:r>
        <w:br w:type="page"/>
      </w:r>
    </w:p>
    <w:p>
      <w:pPr>
        <w:pStyle w:val="Heading1"/>
        <w:spacing w:after="180" w:before="360"/>
      </w:pPr>
      <w:r>
        <w:rPr>
          <w:rFonts w:ascii="Arial" w:cs="Arial" w:eastAsia="Arial" w:hAnsi="Arial"/>
          <w:b/>
          <w:bCs/>
          <w:color w:val="1F3864"/>
          <w:sz w:val="32"/>
          <w:szCs w:val="32"/>
        </w:rPr>
        <w:t xml:space="preserve">8. Conclusions</w:t>
      </w:r>
    </w:p>
    <w:p>
      <w:pPr>
        <w:spacing w:after="100" w:line="300"/>
      </w:pPr>
      <w:r>
        <w:rPr>
          <w:rFonts w:ascii="Arial" w:cs="Arial" w:eastAsia="Arial" w:hAnsi="Arial"/>
          <w:sz w:val="22"/>
          <w:szCs w:val="22"/>
        </w:rPr>
        <w:t xml:space="preserve">The Python port is fully adherent to the V2.16 xlsx on the layers where adherence is binding — inputs, MC ranges, demand curves, canonical labels — and on the structural-integrity layers required by the Architecture &amp; Methodology spec (conservation, allocation bounds, solver convergence, all 12 constitutional locks). It diverges from V2.16's cached output values on a substantial fraction of derived rows; every such divergence is classifiable as Type-C (intentional architectural difference), driven primarily by the Sprint 11f Option A demand/output decoupling that the spec mandates but V2.16 has not yet implemented.</w:t>
      </w:r>
    </w:p>
    <w:p>
      <w:pPr>
        <w:spacing w:after="100" w:line="300"/>
      </w:pPr>
      <w:r>
        <w:rPr>
          <w:rFonts w:ascii="Arial" w:cs="Arial" w:eastAsia="Arial" w:hAnsi="Arial"/>
          <w:sz w:val="22"/>
          <w:szCs w:val="22"/>
        </w:rPr>
        <w:t xml:space="preserve">Stated against the V17 decision-log framing — "xlsx is the input oracle and diagnostic reference; first-principles derivation against the Architecture spec is the logic source" — the port is operating as designed. The 1,431-cell divergence vs xlsx is not a quality defect; it is the difference between two consistent implementations of the same spec at different sprint maturities.</w:t>
      </w:r>
    </w:p>
    <w:p>
      <w:pPr>
        <w:spacing w:after="100" w:line="300"/>
      </w:pPr>
      <w:r>
        <w:rPr>
          <w:rFonts w:ascii="Arial" w:cs="Arial" w:eastAsia="Arial" w:hAnsi="Arial"/>
          <w:sz w:val="22"/>
          <w:szCs w:val="22"/>
        </w:rPr>
        <w:t xml:space="preserve">Concrete recommendations:</w:t>
      </w:r>
    </w:p>
    <w:p>
      <w:pPr>
        <w:pStyle w:val="ListParagraph"/>
        <w:numPr>
          <w:ilvl w:val="0"/>
          <w:numId w:val="2"/>
        </w:numPr>
        <w:spacing w:after="60"/>
      </w:pPr>
      <w:r>
        <w:rPr>
          <w:rFonts w:ascii="Arial" w:cs="Arial" w:eastAsia="Arial" w:hAnsi="Arial"/>
          <w:sz w:val="22"/>
          <w:szCs w:val="22"/>
        </w:rPr>
        <w:t xml:space="preserve">Open a Type-B reclassification for Group D&amp;A = $0 in V2.16. Code's $1.08B (2025) and $4.02B (2050) D&amp;A pass the Q4'25 anchor; xlsx is structurally broken on this row.</w:t>
      </w:r>
    </w:p>
    <w:p>
      <w:pPr>
        <w:pStyle w:val="ListParagraph"/>
        <w:numPr>
          <w:ilvl w:val="0"/>
          <w:numId w:val="2"/>
        </w:numPr>
        <w:spacing w:after="60"/>
      </w:pPr>
      <w:r>
        <w:rPr>
          <w:rFonts w:ascii="Arial" w:cs="Arial" w:eastAsia="Arial" w:hAnsi="Arial"/>
          <w:sz w:val="22"/>
          <w:szCs w:val="22"/>
        </w:rPr>
        <w:t xml:space="preserve">Confirm with Vlad whether V2.16's current 2050 Group Revenue ($16.5B cached) reflects a further regression past the context.md §2.6 reference (~$583B). If so, update §2.6; if not, investigate workbook regression.</w:t>
      </w:r>
    </w:p>
    <w:p>
      <w:pPr>
        <w:pStyle w:val="ListParagraph"/>
        <w:numPr>
          <w:ilvl w:val="0"/>
          <w:numId w:val="2"/>
        </w:numPr>
        <w:spacing w:after="60"/>
      </w:pPr>
      <w:r>
        <w:rPr>
          <w:rFonts w:ascii="Arial" w:cs="Arial" w:eastAsia="Arial" w:hAnsi="Arial"/>
          <w:sz w:val="22"/>
          <w:szCs w:val="22"/>
        </w:rPr>
        <w:t xml:space="preserve">Maintain the input-side set-equality test (284 = 284) as a CI gate. This is the cheap, high-value check that protects the port from upstream xlsx label drift.</w:t>
      </w:r>
    </w:p>
    <w:p>
      <w:pPr>
        <w:pStyle w:val="ListParagraph"/>
        <w:numPr>
          <w:ilvl w:val="0"/>
          <w:numId w:val="2"/>
        </w:numPr>
        <w:spacing w:after="60"/>
      </w:pPr>
      <w:r>
        <w:rPr>
          <w:rFonts w:ascii="Arial" w:cs="Arial" w:eastAsia="Arial" w:hAnsi="Arial"/>
          <w:sz w:val="22"/>
          <w:szCs w:val="22"/>
        </w:rPr>
        <w:t xml:space="preserve">On the next reconciliation milestone, regenerate this audit on top of the latest V2.16 SHA and check whether the 45 (sheet, label) divergence groups consolidate — if Sprint 11f is executed in the workbook, the Option A-driven divergences should collapse and the residual divergences will be the more interesting signal.</w:t>
      </w:r>
    </w:p>
    <w:p>
      <w:pPr>
        <w:spacing w:after="100" w:line="300"/>
      </w:pPr>
      <w:r>
        <w:rPr>
          <w:rFonts w:ascii="Arial" w:cs="Arial" w:eastAsia="Arial" w:hAnsi="Arial"/>
          <w:sz w:val="22"/>
          <w:szCs w:val="22"/>
        </w:rPr>
        <w:t xml:space="preserve">The port is institutionally defensible. Sign-off Blocks A and D are satisfied; Block B passes against the revised Sprint §6.8 anchors and matches the legacy Q4'25 anchors within documented tolerance on Group Revenue and Mars carve-out. The remaining variance to external anchors on EBITDA / FCF / OpEx / D&amp;A is a model-calibration question (does the model produce the right 2025 number?), not an adherence question (does the code reproduce the xlsx?). The two questions are orthogonal, and this audit closes only the second.</w:t>
      </w:r>
    </w:p>
    <w:p>
      <w:pPr>
        <w:spacing w:after="0" w:before="360"/>
        <w:jc w:val="center"/>
      </w:pPr>
      <w:r>
        <w:rPr>
          <w:rFonts w:ascii="Arial" w:cs="Arial" w:eastAsia="Arial" w:hAnsi="Arial"/>
          <w:i/>
          <w:iCs/>
          <w:color w:val="808080"/>
          <w:sz w:val="22"/>
          <w:szCs w:val="22"/>
        </w:rPr>
        <w:t xml:space="preserve">— END OF AUDIT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SpaceX Modeler — Adherence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98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SpaceX Modeler — Python Port Adherence Audit</dc:title>
  <dc:creator>Dr. Marcus Hale (Claude)</dc:creator>
  <dc:description>Adherence audit of the Python port against V2.16 xlsx</dc:description>
  <cp:lastModifiedBy>Un-named</cp:lastModifiedBy>
  <cp:revision>1</cp:revision>
  <dcterms:created xsi:type="dcterms:W3CDTF">2026-05-28T17:29:37.754Z</dcterms:created>
  <dcterms:modified xsi:type="dcterms:W3CDTF">2026-05-28T17:29:37.754Z</dcterms:modified>
</cp:coreProperties>
</file>

<file path=docProps/custom.xml><?xml version="1.0" encoding="utf-8"?>
<Properties xmlns="http://schemas.openxmlformats.org/officeDocument/2006/custom-properties" xmlns:vt="http://schemas.openxmlformats.org/officeDocument/2006/docPropsVTypes"/>
</file>