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6"/>
          <w:szCs w:val="36"/>
        </w:rPr>
        <w:t xml:space="preserve">MACH33 SPACEX VALUATION MODEL — PYTHON PORT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6"/>
          <w:szCs w:val="26"/>
        </w:rPr>
        <w:t xml:space="preserve">Technical Code Audit Memo (PRD adherence &amp; function)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0"/>
          <w:szCs w:val="20"/>
        </w:rPr>
        <w:t xml:space="preserve">Institutional model-risk-style audit — code structure &amp; contract correctness only. Numerical equivalence to V2.16.xlsx is out of scope.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Vlad (Principal, Mach33) — architecture &amp; numerical sign-off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FROM: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Dr. Marcus Hale, Principal Financial Engineer (port lead, per role.md)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2026-05-28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Mach33 SpaceX Valuation Model — Python Port: Technical Code Audit (PRD adherence &amp; function)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BASELINE: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src/spacex_model/ at HEAD as of 2026-05-28; 114 Python files / ~14,100 LOC; pyproject.toml at v0.1.0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AUTHORITY: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PRD.md v1.0 (2026-05-28) §1–§20; context.md (1,005 lines); role.md; Pre Existing Model Package/00_Constitutional_Docs/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 EXCLUSION: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memo is a technical / structural audit only. Numerical equivalence to V2.16.xlsx is explicitly OUT OF SCOPE per user direction 2026-05-28. Block B calibration and §11.6 divergence triage are not exercised here.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Python port has substantially completed the Phase A–G build envelope described in PRD §12 and surfaces a working CLI, FastAPI service layer, MC engine scaffolding, and React/Vite frontend. The five architectural pillars I weight most heavily as a model-risk audit are well executed: vending-machine module framing (§2.1), demand-output type-level decoupling for Sprint 11f Option A (§2.2), the canonical-label registry (§2.4), the queue gate (§2.5), and the per-unit IRR engine (§2.6) are all implemented faithfully and enforced by AST-walking linter tests. mypy --strict is configured, US English is enforced, and the four-tag docstring convention is present on the public surface of every Phase B module.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However, several findings would block G4 / G5 sign-off in an institutional model-risk review. The conservation block has a hardcoded $125M tolerance for the R102 module-FCF walk that is 125× the PRD §7.7 mandate, and R109 (cash-flow identity, which is the only place the $20B pre-IPO bridge loan term currently has structural visibility per §2.13) is hardcoded to 0.0 rather than computed. Two of the three internal-flow source-side rate functions (bandwidth and compute) are one-line stubs, which means §2.9 and §2.15 are only partially honored — the four-step internal-transfer pattern is closed at the consumer/elimination edge but not at the source/rate edge. The docstring four-tag linter, advertised as Block D's spec-coverage gate, scans only a hand-picked Phase B subset (24 files) rather than all of calc/ as PRD §11.2 and §7.4 prescribe; allocator/, group_pnl.py, opex.py, capex.py, valuation.py, and internal_flows/ are not linted. The hypothesis-driven invariant suite runs at max_examples=30 against PRD §10.9's mandated 200. The test layout does not match PRD §10 / §15 (no tests/reconciliation/, no tests/unit/, no tests/golden/; tests are organized by phase rather than by reconciliation block). There is no CI pipeline file in the repository. docs/model_translation_log.csv and docs/architecture_diagram.md, both PRD §15 deliverables, are absent and cli/audit.py — the tool PRD §11.1 designates as their generator — is itself a one-line stub.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None of these are silent failures: in each case the code's author has left the deviation visible (inline comment, explicit stub, restricted scan list), and most have a clear v1.x or Phase E remediation path. My recommendation is that v1 should not pass G4 sign-off until the conservation tolerance, R109 implementation, internal-flow source-side rate functions, docstring-linter scope, and hypothesis sampling are addressed. The remaining items are appropriate to ship under a documented Phase E / v1.x backlog with explicit sign-off from Vlad.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Findings counts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Severity definitions: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Critical: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Would block G4 / G5 sign-off in an institutional MRM review. Constitutional invariant is structurally violated or unenforceable. Must be addressed before v1 PASS can be claimed.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BF8F00"/>
          <w:sz w:val="22"/>
          <w:szCs w:val="22"/>
        </w:rPr>
        <w:t xml:space="preserve">Major: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Materially weakens an audit, deliverable, or test gate the PRD specifies. Acceptable to ship if explicitly logged in the changelog with a remediation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Minor: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Acceptable v1 gap with a clear v1.x remediation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2"/>
          <w:szCs w:val="22"/>
        </w:rPr>
        <w:t xml:space="preserve">Observation: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Compliant or positively executed; included for completeness and to anchor the assessment.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Audit Scope &amp; Method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strict technical / structural code audit, conducted in the persona of Dr. Marcus Hale per role.md. The audit assesses adherence of src/spacex_model/ to the binding requirements of PRD.md v1.0 (2026-05-28) §1–§20 and to the operational principles in context.md and role.md. The audit does NOT: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numerical accuracy against V2.16.xlsx or any other workbook.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Exercise the Block B Sprint Roadmap §6.8 anchor calibration. (The test-suite coverage of those anchors IS audited as a code/structural matter.)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§11.6 xlsx-vs-code divergence triage.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Assess the React/TypeScript frontend code beyond confirming the Phase G wiring contract to the FastAPI layer.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audit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 every file under src/spacex_model/ (114 .py files) against the §15 mandated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16 architectural locks in PRD §2.1–§2.16 against actual implementations, with file:line evidence.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the docstring four-tag discipline (PRD §11.2) for both coverage and linter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the iterative solver, conservation block, ingest pipeline, audit log, divergence harness, MC engine, FastAPI service, and CLI.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 the test layout vs PRD §10 / §15 and assess per-block (A/B/C/D)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mypy --strict, US English, no inline-label-literals, no version surfacing.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Findings cite specific files and line numbers. Where a Critical finding has been verified by direct file read, the inline-quoted code reflects what was actually on disk at audit time.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Architectural Locks (§2.1–§2.16) Compliance Matrix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Status legend: COMPLIANT = lock implemented and tested. PARTIAL = lock partially implemented or test/enforcement gap. NON-COMPLIANT = lock implementation departs from PRD code-implication; addressed in the Critical/Major 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300"/>
        <w:gridCol w:w="46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Vending-machine module framing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calc/_vending_machine.py L11–84; linters/vending_machine.py L24–44; tests/linters/test_vending_machine.py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Demand/Output decoupling (Sprint 11f Option A)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calc/&lt;module&gt;/demand.py, output.py (frozen DC); linters/demand_output.py L7–36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Anchor-and-offset year-row pattern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domain/year_vector.py L1–44; domain/assumption_helpers.py year_chained_*; canonical labels carry RULE_23_EXCEPTION suffix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Cross-tab refs via canonical-label registry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config/canonical_labels.py (3,466 lines, 659 Final[str]); linters/canonical_labels.py L24–58 AST walks calc/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gate reserves non-module claims first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calc/allocator/queue_gate.py L10–50; formula max(0, Cash_BoY − non_module_claims) at L43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Per-unit marginal IRR (Spot/Forward/Blended)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domain/irr.py L66–83; IrrResult dataclass L16–20; w=0.7 default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Vehicle-level Allocator for Starlink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starlink/vehicle_pools.py V2 sats_per_starship=0; allocator/physical_gates.py V3 startup, V2 phase-out, F9 supply gates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carve-out off-the-top, prior-year FCF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lunar_mars/carveout.py L12–34; signature takes prior_year_group_fcf; 2025 = floor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transfer 4-step pattern (3 flows)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launch_services.py implements 4-step; bandwidth.py and compute.py are 1-line stubs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LM BV = SoTP input, NOT Group D&amp;A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lunar_mars/bv_engine.py separates accumulated_bv and module_da; group_pnl.compute_group_da has no bv_dep reference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Iterative-calc convergence (100 / 0.001 / 0.5)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engine/iterative_solver.py L56–114; NonConvergenceError on failure; constants in config/constants.py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version surfacing / US English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service/api.py version="0.1.0" only; zero British spellings in src/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Pre-IPO debt facility ($20B 2025)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allocator/cash_pool.py adds bridge correctly; but R109 conservation residual is hardcoded 0.0 — bridge term not actually checked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Pre-revenue R&amp;D switching formula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calc/opex.py switching_rd L107–122; used by ODC L201, AI Stack L221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Fully-allocated at-cost transfer pricing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launch_services.py rate implemented; bandwidth and compute rates are stubs (see §2.9)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§2.16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First-year (2025) historical override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allocator/deployment.py apply_first_year_override L52–95; brain.py anchors L74–75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Repository Layout (§15) Deltas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Deltas vs PRD §15 mandated tree. "REORGANIZED" deltas mirror the starlink/ sub-package pattern and are acceptable; "ABSENT" and "STUB" deltas are tied to one or more findings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7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authority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tests/reconciliation/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PRD §10.3–§10.5 + §15:1442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A/B/C/D tests scattered across tests/test_phase_d.py and tests/test_phase_e.py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tests/unit/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PRD §10.1 + §15:1443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 folded into phase tests test_phase_b.py / test_phase_c.py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tests/golden/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PRD §10.8 + §15:1447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byte-stable snapshot regression coverage; §11.5 reproducibility claim is not testable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docs/model_translation_log.csv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PRD §11.1 + §15:1457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cli/audit.py is a 1-line stub; lineage panel in UI cannot resolve to a translation index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docs/architecture_diagram.md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by PRD §15:1458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Mermaid diagram of tab→package mapping not generated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calc/customer_launch.py (flat)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§15:1389 prescribes single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REORGANIZED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 as calc/customer_launch/ sub-package (module/demand/output). Mirrors starlink/ pattern. Acceptable.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calc/odc.py (flat)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§15:1397 prescribes single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REORGANIZED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Implemented as calc/odc/ sub-package. Acceptable.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calc/starlink/per_vehicle_irr.py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§15:1395 prescribes this file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Per-vehicle IRR logic distributed across starlink/output.py and allocator/irr_display.py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calc/internal_flows/bandwidth.py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§15:1411 + §2.9 + §2.15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docstring line. Source-side rate function missing.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calc/internal_flows/compute.py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PRD §15:1412 + §2.9 + §2.15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docstring line. Source-side rate function missing.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calc/_allocator_allocation.py / _allocator_out.py / _vending_machine.py / _module_packages.py / _vehicle_allocations.py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 §15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 (private helpers)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Underscore-prefixed; appropriate refactor. No findings.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calc/allocator/brain.py, demand_builders.py, types.py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 §15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Composition helpers above sigmoid_cash/sigmoid_kg. Acceptable.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engine/reconciliation.py, label_lookup.py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 §15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Reconciliation harness wiring and label lookup index. Acceptable.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domain/assumption_helpers.py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 §15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Holds year_chained_* Rule 23 exception helpers. Acceptable.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src/spacex_model/linters/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 §15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Linter package separated cleanly; positively recommended.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inputs/scenarios.py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 PRD §15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YAML loader. Acceptable.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Block A — Structural Invariants Coverage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§7.1 lists eight Block A invariants. The table below maps each to its current test/implementation site and notes coverage gaps. Tolerance/enforcement gaps are referenced into the Critical 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 (PRD §7.1)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R108 ALL OK every year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test_phase_d.py L98–100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(Base Case only — not parametrized over stress scenarios)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R99–R107 residuals ≤ $1M every year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group_pnl.py L370–371; invariant/.../perturbation L68–73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— R102 tolerance hardcoded 125.0 mm, violates §7.7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module cash alloc ≤ Available cash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test_phase_d.py L35–41; engine/conservation.py L40–53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(Base Case only)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Σ module kg alloc ≤ Available capacity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— no standalone kg-bound test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Negative-IRR ⇒ zero allocation (strict cutoff)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— no static or runtime test; relies on allocator implementation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EBITDA == Gross Profit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test_phase_b.py L22–28; test_phase_c.py L165–167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(Starlink + scaffold check; not parametrized across all 5 modules)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Internal-flow conservation (3 flows)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integration/test_phase_c_group.py L148–160; group_pnl.py R105–R107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— R106 / R107 check elimination ↔ consumer cost but the source-side rate is a stub (see Critical-3)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Solver converges &lt; 100 iter, residual &lt; 0.001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test_phase_d.py L27–31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(Base Case only — not stress)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Block B — Sprint Roadmap §6.8 Revised Anchors Coverage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D1 names Sprint Roadmap §6.8 revised set as the binding Block B target. Five of nine anchors lack a direct assertion in the test suite. See M-5 for the remediation.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Anchor (PRD §7.2 / D1)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Revenue 2025 $14,650M ±5%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test_phase_d.py L57–60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Gross Profit 2025 $9,463M ±10%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(Block B miss)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EBITDA 2025 $4,904M ±5%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(Block B miss)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D&amp;A 2025 $1,261M ±10%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(Block B miss)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FCF 2025 −$2,569M ±10%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(Block B miss; PRD calls this the binding target per D1)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OpEx 2025 $4,476M ±5%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test_phase_d.py L64–67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CapEx 2025 $6,345M ±5%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test_phase_d.py L71–74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Mars carve-out 2025 $1,000M exact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test_phase_d.py L51–53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Parametrized halt-and-trace harness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— anchors hand-asserted as scalars, not via PRD §7.2 parametrized fixture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CI Configuration &amp; Linter Posture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§10.9 specifies 11 CI items. The repository has no CI runner config; lint posture is correctly tooled (mypy strict, ruff, black) but ungated.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27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 item (PRD §10.9)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+ pytest-xdist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Configured in pyproject.toml L24–25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hypothesis max_examples=200, deadline=10s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uses max_examples=30, deadline=120s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NON-COMPLIANT (under-specified by 6.67× / 12×)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mypy --strict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pyproject.toml L54–58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ruff + black lint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pyproject.toml L49–53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 (tool configured; not gated by CI)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Spell-check (US English)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(only invariant: zero British spellings in source today)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Vending-machine linter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tests/linters/test_vending_machine.py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Demand-output decoupling linter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tests/linters/test_demand_output_decoupling.py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Canonical-label registry completeness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tests/linters/test_canonical_labels.py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Docstring four-tag linter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tests/linters/test_docstring_tags.py + linters/docstrings.py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— scope restricted to 24 Phase B files (see Critical-4)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 profile (peak &lt; 8GB)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 runner config (.github/workflows/, .gitlab-ci.yml, .circleci/)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ABSENT — no automated gate on PR/commit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Findings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Findings are ordered Critical → Major → Minor → Observation. Each carries: PRD authority citation, on-disk evidence (file:line), impact framing, and a concrete remediation. Critical findings would block G4 sign-off; the Marcus-Hale view is that v1 PASS cannot be honestly claimed until C-1 through C-5 are remediated.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8.1 Critical findings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Critical findings. Three concern the conservation block (R102 tolerance override; R109 not computed; engine/conservation.py not actually halting at runtime) — these compound: an inflated R102 tolerance + a missing R109 + a non-asserting runtime stub means R108 = "OK" is structurally less informative than the PRD claims. The other two concern enforcement scope (docstring linter restricted to 24 files; bandwidth and compute internal flows are stubs).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C-1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Conservation R102 tolerance inflated 125× the PRD §7.7 mandate; R108 "OK" verdict is loaded against the model.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src/spacex_model/calc/group_pnl.py L370–371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Evidence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r102_tol = 125.0  # Module FCF walk residual; R110 memo pattern at smaller scale in v1 port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ok = all(abs(v) &lt; (r102_tol if k == "R102" else tol) for k, v in check_vals.items())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§7.7 (and context.md §11.4) fix tolerances: "$-denominated rows: ±$1M absolute OR ±0.1% relative, whichever is larger." PRD §5.4 and §16.1 require R108 = "OK" every year as a NON-NEGOTIABLE Block A invariant. PRD §13.1 names "module D&amp;A treatment in COGS" and "fully-allocated launch transfer pricing" as the most likely culprits for a Group P&amp;L walk miss.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Any year where the module FCF walk is off by up to $125M will still print R108 = "OK". The R110 memo trajectory of −$1,640M in V2.16 (PRD §5.4) is a known unresolved residual; carrying it forward by inflating the R102 gate trades the audit signal for a green pass. In an MRM review this would be flagged as a tolerance override without an offsetting compensating control.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Restore the PRD §7.7 tolerance to R102 (CONSERVATION_RESIDUAL_TOLERANCE_MM = $1M) and let the walk fail until the residual is decomposed.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 up the R110 "Σ Module FCF residual" memo as an explicit named row (it is in PRD §5.4 and §17.1 v1.1 backlog as "module-owner audit pending"); attribute the residual sub-components (module D&amp;A double-count, internal-transfer COGS share, Mars carve-out as cash-out from carve-out-flagged FCF,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Treat the residual decomposition as a G4 unblock item rather than a v1.1 deferral; the entire point of R108 is to give the auditor a single trustworthy boolean.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C-2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R109 cash-flow identity is hardcoded to 0.0; the $20B pre-IPO bridge loan (PRD §2.13) is not checked anywhere.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src/spacex_model/calc/group_pnl.py L374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Evidence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residuals["R109"] = {y: 0.0 for y in years}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§5.4 R109: "cash flow identity = Starting cash + Σ IPO + Σ Group FCF + Σ Bridge loan − Σ deployed CapEx − Σ strategic carve-out − Cash EoY (final year)." PRD §2.13 enforcement test: "R109 cash flow identity includes the bridge loan term: Σ bridge_loan_drawdown ∈ cash_identity_equation." Decision D5 defers REPAYMENT / INTEREST to v1.1; it does NOT defer the residual identity itself.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bridge facility is the largest single line item in the 2025 Cash BoY ladder ($20B vs $5B starting cash). Without R109, there is no structural verification that the cash drawn at the queue gate equals the cash deployed plus end-of-horizon balance. A sign error or missed eliminator in the cash pool would not surface through R108. The reconciliation report cannot be honestly published with R109 ≡ 0.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R109 as the closed-form identity per PRD §5.4 — drawdowns sourced from allocator/cash_pool.py (where _BRIDGE_LOAN_2025_MM is already a named constant at L10), IPO and starting cash from the same module, Group FCF from the run, deployed CapEx from capex.py, Mars carve-out and other strategic from allocator/mars_carveout.py and elsewhere.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PRD §2.13 enforcement test: "Σ bridge_loan_drawdown ∈ cash_identity_equation" via a static check on the formula tree or a runtime assertion.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R109 in docs/reconciliation_report.md alongside R108.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C-3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Internal-flow source-side rate functions for bandwidth and compute are 1-line stubs; §2.9 and §2.15 are unenforceable for two of three flows.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src/spacex_model/calc/internal_flows/bandwidth.py   →  1 line: """Bandwidth at-cost transfer (Phase A stub)."""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src/spacex_model/calc/internal_flows/compute.py     →  1 line: """Compute at-cost transfer (Phase A stub)."""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src/spacex_model/calc/internal_flows/launch_services.py  →  L10–57 fully implemented (rate_per_unit, internal_transfer_revenue, conservation_residual)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§2.9 mandates the 4-step pattern (source books rev → consumer books cost → Group P&amp;L eliminates → conservation residual = 0) for ALL THREE flows. PRD §2.15 mandates a single per-year fully-allocated rate per flow with set-cardinality 1 across consumers. PRD §5.6 sub-package list names cash_pool.py, queue_gate.py, mars_carveout.py, sigmoid_cash.py, sigmoid_kg.py, deployment.py, vehicle_build.py, physical_gates.py, irr_display.py — and PRD §15 lists internal_flows/{launch_services,bandwidth,compute}.py as binding scaffolding. The 4.3 / 4.4 calc paths (Starlink Capacity → ODC bandwidth, ODC compute → AI Stack) cite Starlink Capacity's per-pool $/Gbps and ODC's $/PFLOP-hr as derived rates, not as stubs.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R106 (bandwidth elimination) and R107 (compute elimination) in calc/group_pnl.py L353–354 check elimination revenue against a consumer-side cost line item. With no source-side rate function, those consumer-side costs are either zero (ODC = 0 deployment per D6 may mask this in Base Case) or are computed elsewhere in starlink_capacity.py / odc/ but never reconciled against a fully-allocated rate. The Sprint 11d / Memory 1.6 Starlink ↔ Starlink Capacity %×Revenue iterative-solver loop runs through bandwidth pricing — if the rate function is missing, the loop will converge to whatever number the consumer reads, with no audit-side check that the rate is fully-allocated.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bandwidth.py at-cost rate: BB pool cost basis (Gbps-share-weighted Constellation D&amp;A + Ground ops + Spectrum amort) ÷ Total active BB Gbps; DTC analogous without Spectrum (PRD §4.3 "Calculations (Starlink Capacity)"). Expose rate_per_unit(...) and conservation_residual(...) per launch_services.py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compute.py at-cost rate: ODC fully-allocated annual cost ÷ ODC total annual PFLOP-hrs (PRD §2.15, §4.4). Same function signatures.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Tighten R106 / R107 to call those rate functions and assert the set-cardinality invariant from PRD §2.15: |{rate_charged_to_consumer for consumer in consumers_of(flow)}| == 1 per year.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Block any G4 sign-off until both source-side rate functions are live; reaching G4 with bandwidth and compute as stubs leaves §2.9 and §2.15 unenforceable.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C-4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Docstring four-tag linter scope is restricted to 24 hand-listed Phase B files; Block D "every public function in calc/" coverage is materially under-enforced.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src/spacex_model/linters/docstrings.py L18–44  →  PHASE_B_SCAN tuple lists 24 files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src/spacex_model/linters/docstrings.py L54–69  →  find_missing_docstring_tags() iterates ONLY iter_phase_b_sources()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§11.2: "A docstring linter checks every public function in calc/ has the four required tags." PRD §7.4 Block D test pseudo-code: "for fn in iter_public_calc_functions(): for tag in [...four tags...]: assert tag in fn.__doc__". PRD §16.1 lists "Block D — Spec coverage complete" as a v1 numerical-PASS criterion.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Evidence — files NOT scanned but inside calc/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calc/allocator/: brain.py, cash_pool.py, demand_builders.py, deployment.py, irr_display.py, physical_gates.py, queue_gate.py, sigmoid_cash.py, sigmoid_kg.py, vehicle_build.py (10 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calc/group_pnl.py (the conservation block and the entire Group P&amp;L walk)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calc/opex.py (the switching R&amp;D engine — PRD §2.14)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calc/capex.py (module aggregation + corporate + spectrum + vehicle build claim)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calc/valuation.py (Group DCF + SoTP)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calc/internal_flows/launch_services.py (the only fully-implemented internal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calc/customer_launch/module.py is in scope but the entire calc/customer_launch/ tree above is a Phase B subset only, not a tree walk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tests/linters/test_docstring_tags.py runs green today because the linter never visits the unscanned files. The visible "120 functions with all four tags" total is correct only for the PHASE_B_SCAN list. The lineage panel in the FastAPI service (service/lineage.py) parses the four-tag docstrings to build the audit lineage that PRD §9.1 promises to the consumer-facing UI; for unscanned modules, the panel has no integrity guarantee — clicking a Group P&amp;L cell could return an empty or stale lineage entry without any test catching it.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PHASE_B_SCAN with a tree walk: list(CALC_ROOT.rglob("*.py")) with the existing underscore-prefix filter for private helpers.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Expect the linter to find a real backlog of missing tags across allocator/, group_pnl, opex, capex, valuation, internal_flows. Stage that backlog as Phase D / E remediation work and check in with each docstring 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CI step that fails the build if find_missing_docstring_tags() returns a non-empty list (the existing test does this; the gap is the SCAN scope, not the test).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C-5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engine/conservation.py is named as the runtime-assertion site for Block A invariants but only check_allocation_bounds() runs; R99–R108 is a PENDING stub.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src/spacex_model/engine/conservation.py L62–68  →  check_conservation_stub() returns r108_ok_by_year={y: "PENDING" ...}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src/spacex_model/calc/group_pnl.py L300–379  →  real compute_conservation() lives here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§10.3: "Block A invariants (tests/reconciliation/test_block_a.py) — Runs as runtime assertion in engine/conservation.py AND as pytest." PRD §16.2 Architectural PASS: "Conservation invariants assert at runtime per §2.5." PRD §3.1 + §6.8 contract: conservation halts on break.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runtime-halt promise of PRD §16.2 is structurally violated. compute_conservation() in group_pnl.py computes residuals and stores them on the result object; nothing raises. The only failure path is the pytest layer (tests/test_phase_d.py L98–100) running on the assembled ModelResult. In a production scenario or under MC perturbation, a conservation break would propagate silently through the rest of the pipeline. This is the same family of failure as a missing accounting controls test — the math is correct, but the system fails to act on it. Combined with C-1 (inflated R102 tolerance), an R102 break of $124M would print R108 = "OK" and the run would proceed to publish a valuation.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(or import) the real compute_conservation function into engine/conservation.py and add a raise_on_break(conservation_result) helper that raises ConservationBrokenError if r108_ok_by_year contains any "CHECK".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engine/pipeline.py to call raise_on_break() at the end of the final group_pnl pass, BEFORE the audit log is written (so the audit log captures the failed state on the way out).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Once C-1 is addressed (R102 tolerance restored), this halt becomes informative; today it would fire spuriously, which is presumably why it was wired as a stub.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8.2 Major findings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Nine Major findings. Two concern deliverables (model_translation_log.csv + architecture_diagram.md absent; audit.py stub). Two concern test layout (PRD §10 / §15 organization not followed; tests/golden/ absent). Five concern coverage gaps (Block B parametrize harness; Block C sense checks; Block D architecture-coverage test; divergence parametrize; outputs hash + peak memory + MC non-convergence rate in audit.json). All Major findings have clear v1.x remediation paths.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M-1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cli/audit.py is a 1-line stub; docs/model_translation_log.csv and docs/architecture_diagram.md are absent.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src/spacex_model/cli/audit.py  →  1 line: """CLI: audit / Model Translation Log — stub until Phase E."""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docs/ contains: changelog.md, intentional_divergences.md, intentionally_unused_labels.md, reconciliation_report.md, xlsx_bugs_found.md  (no model_translation_log.csv, no architecture_diagram.md)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§11.1: "Every code function that implements a workbook row gets one entry. The log is auto-generated by cli/audit.py from docstring annotations." PRD §15:1457–1458 lists model_translation_log.csv and architecture_diagram.md as v1 deliverables. PRD §16.4 lists "Model Translation Document auto-generated, current" as a v1 deliverables checklist item.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Web UI's audit lineage panel (PRD §9.1, §9.4) is described as: "every displayed number is clickable → opens a lineage panel showing the calc function, the inputs it consumed, the intermediate Excel cell it corresponds to (per Model Translation Log), and the Architecture spec section it implements." service/lineage.py parses the four-tag docstrings at runtime, which is acceptable as a transient implementation, but without model_translation_log.csv as a reproducible artifact, an off-line auditor or an MRM second line has no reproducible map. architecture_diagram.md is a smaller item; absence is a documentation gap.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cli/audit.py: walk every public function in calc/, parse the four-tag block, emit CSV with columns sheet, row, column_a_label, excel_cell_range, module_path, function, docstring_section.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Generate docs/architecture_diagram.md from the same docstring walk (mermaid block of tab→package mapping).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CI step that diffs the regenerated CSV against the checked-in copy; drift fails the build.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M-2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Hypothesis-driven invariant suite under-specified: max_examples=30 vs PRD §10.9 mandated 200; deadline=120 s vs 10 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tests/invariant/test_conservation_perturbation.py L55  →  @hypothesis.settings(max_examples=30, deadline=120_000)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§10.9: "hypothesis for invariant tests; max_examples=200 per test, deadline=10000 ms." PRD §7.5 / §16.1: "All Block A invariants hold under hypothesis-driven perturbation testing."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30 examples is 6.67× under the PRD specification and exercises only 5 scalar inputs (TAM inflation, GNI growth, Mars %, Wright's Law, tax rate). PRD §7.5 says "arbitrary valid Assumptions perturbations"; the strategy covers neither year-row inputs nor MC-flagged inputs broadly. The 120 s deadline masks individual slow trials that would expose convergence-failure modes (PRD §13.4 risk). The result is a Block A invariant suite that runs green but does not stress the model the way PRD §7.5 intends.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Raise max_examples to 200 (or pin via a constant referenced from a single CI config).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Tighten deadline to PRD-specified 10_000 ms; any test that fails to converge in 10 s is itself a finding (per PRD §13.4 mitigation: "if &gt; 1% of trials non-converge, escalate to Vlad for damping retune").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the perturbation strategy to year-row Assumptions inputs (the assumptions catalog already carries the MC ranges; sample over them).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M-3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No CI pipeline file in repository; all gating runs locally only.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.github/workflows/, .gitlab-ci.yml, .circleci/, Jenkinsfile, or .pre-commit-config.yaml present in the repo root or anywhere in src/.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§10.9 specifies eleven CI items: pytest+xdist, hypothesis, mypy --strict, ruff, black, spell-check, vending-machine linter, demand-output decoupling linter, canonical-label registry completeness, docstring four-tag linter, memory profile. PRD §19 ("For contributors"): "Every PR runs CI: unit + integration + Block A + Block B + Block C + Block D + invariant + linters."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Without a CI pipeline, the four linter tests, mypy --strict, ruff, black, the hypothesis invariants, and the docstring scope gate exist as opt-in local checks. Any PR can land without exercising them. The reproducibility claim in PRD §11.5 is not enforced by anything other than developer discipline. Per PRD §13.7 (V2.16 drift risk), a CI gate is the only structural mitigation against bit-rot during the Excel-side sprints continuing in parallel.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.github/workflows/ci.yml (or chosen runner equivalent) wiring pytest, pytest-xdist, mypy --strict, ruff, black, all four linter tests, hypothesis invariant suite, and a peak-memory check (e.g. memray or /usr/bin/time -v wrapper).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Make CI required for merge to 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separate nightly job for the full divergence harness (tests/diagnostics/) so per-PR latency stays acceptable.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M-4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Test layout does not match PRD §10 / §15: no tests/reconciliation/, no tests/unit/, no tests/golden/; tests organized by phase.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Actual: tests/test_phase_a.py … tests/test_phase_g.py at top level, plus tests/diagnostics/, tests/integration/, tests/invariant/, tests/linters/. Required by PRD §15:1442–1447: tests/reconciliation/, tests/unit/, tests/golden/.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§10.1: "Unit tests (tests/unit/) — every public calc function." §10.3: "Block A invariants (tests/reconciliation/test_block_a.py)." §10.4: "Block B + C tests (tests/reconciliation/test_block_b.py + test_block_c.py)." §10.5: "Block D static analysis (tests/reconciliation/test_block_d.py)." §10.8: "Golden snapshots (tests/golden/)."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Content coverage of Block A through Block D is partially present (see lock-by-lock matrix), but the by-phase organization makes the reconciliation pass criteria invisible to the test runner. A reviewer cannot point at one file and say "these are the Block A invariants." Block A/B/C/D status sections of docs/reconciliation_report.md (PRD §7.8) cannot be generated mechanically from the test layout. tests/golden/ is missing entirely, which means PRD §11.5 byte-stable reproducibility is not regression-tested.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tests/reconciliation/test_block_a.py, test_block_b.py, test_block_c.py, test_block_d.py and migrate the relevant assertions from test_phase_d.py / test_phase_e.py / integration/test_phase_c_group.py into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tests/unit/ and migrate per-function tests from test_phase_c.py.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tests/golden/ with at least one Base-Case snapshot (Group + per-module FCF + EV) and a snapshot diff harness; regenerate only on explicit approval.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the by-phase view is useful for developer ergonomics, keep it as a thin imports-only file that re-runs the canonical block tests under phase tags.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M-5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Block B (Sprint Roadmap §6.8 revised) under-tested: 5 of 9 anchors missing; no parametrized harness.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Present: Group Revenue 2025, Total OpEx 2025, Total CapEx 2025, Mars carve-out 2025. Missing: Group Gross Profit 2025, Group EBITDA 2025, Group D&amp;A 2025, Group FCF 2025 (binding per D1), Group EBITDA margin 2025. No parametrized fixture loading the §6.8 anchor list.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§7.2 code-skeleton: "@pytest.mark.parametrize('name,target,tolerance,halt_low,halt_high', load_block_b_anchors_v1())." PRD §1.6 D1: "Block B reconciliation target = Sprint Roadmap §6.8 revised set (Group EBITDA 2025 = $4,904M; Group FCF 2025 = −$2,569M). Q4'25 raw figures are informational external reasonableness anchors only."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Group FCF 2025 is named by D1 as the binding sign-off anchor (−$2,569M ±10%). It is not asserted anywhere in the test suite. The model could print +$1B for Group FCF 2025 and no test would fire. PRD §16.1 Block B PASS cannot be claimed honestly with this gap.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tests/reconciliation/test_block_b.py with the full §6.8 anchor table loaded as parametrize fixtures (each row → name, target, tol, halt_low, halt_high).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entire fixture against the deterministic Base Case ModelResult.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halt-low / halt-high gating per PRD §7.2 pseudo-code.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M-6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Block C sense checks missing: 5 of 9 specified checks have no test; D4 / D6 dispositions lack pytest markers.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 in test_phase_d.py L78–94: no NaN/inf, Starship launches 2025 = 0, ODC fleet 2030 = 0 (D6 disposition asserted without marker).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Missing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Implied DTC subs 2025 &lt; 15M (PRD §7.3, §4.3).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F9 launches 2025 ∈ [165, 177] (PRD §7.3; test_phase_c L81 uses different bounds).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Wright's Law cost-per-unit monotone non-increasing (PRD §7.3, §4.1).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launches every year ≥ 2028 == 0 (PRD §7.3, §2.7).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 launches every year &lt; 2027 == 0 (only 2025 is checked).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F9 customer launches ∈ [30, 50] (PRD §4.2 halt threshold).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Markers absent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§7.3: "@pytest.mark.expected_disposition_D4" for F9 IRR and "@pytest.mark.expected_disposition_D6" for ODC fleet. Neither marker is defined in pyproject.toml [tool.pytest.ini_options].markers nor applied anywhere. Without markers, the dispositions are not surfacable to docs/reconciliation_report.md or the run audit log.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 up tests/reconciliation/test_block_c.py with the full PRD §7.3 list as parametrized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expected_disposition_D4 and expected_disposition_D6 markers in pyproject.toml and tag the corresponding tests with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Wire write_reconciliation_report() to emit "D4 / D6 disposition" entries from the marker registry.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M-7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Block D coverage misses Architecture-section-coverage test; only docstring-tag and registry-completeness tests are present.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Present: tests/linters/test_docstring_tags.py (restricted scan, see C-4); tests/linters/test_canonical_labels.py L26–38 covers registry + workbook-label completeness. Missing: test_every_architecture_section_has_code_coverage().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§7.4 code-skeleton: "def test_every_architecture_section_has_code_coverage(): sections = parse_architecture_sections(); code_refs = parse_docstring_architecture_refs(); uncovered = sections - code_refs; assert not uncovered." PRD §16.1 Block D PASS: "every Architecture §1-§20 section maps to ≥1 code module."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spec section can be silently un-implemented and Block D will still pass. Architecture §14 (Valuation) and §11 / §20.5 (LM BV) are particularly vulnerable: valuation.py contains DCF + SoTP scaffolding but the link from each section to a code function is not asserted.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parse_architecture_sections() by walking the Architecture &amp; Methodology markdown for §N.M headers.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parse_docstring_architecture_refs() by aggregating the "Architecture ref:" line from every public calc function (after C-4 widens the scan).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Assert sections − code_refs ⊆ documented_intentionally_unused_sections.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M-8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Diagnostic divergence harness does not parametrize over xlsx formula cells as PRD §7.6 / §10.7 prescribes.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tests/diagnostics/test_xlsx_divergence.py runs three tests: test_divergence_report_generated, test_zero_open_triage_a_or_d_after_finalize, test_divergence_top_entries_have_values. Each operates on the aggregated report, not on a per-cell parametrize fixture.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§7.6 code-skeleton: "@pytest.mark.parametrize('sheet,row,year', load_all_xlsx_formula_cells_v216()) def test_xlsx_divergence(...): divergence_report.record(...)".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shape produces a single pass/fail per report rather than a per-cell artifact. PRD §11.6 triage workflow expects "(sheet, row, year, code_val, xlsx_val, classification, citation)" entries. The implementation in io/divergence.py records DivergenceEntry rows internally, so the data is there; the test layer just does not expose it as a parametrized cell-level artifact for CI / reporting.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Reshape the diagnostic test to parametrize over the V2.16 formula-cell index (load via snapshot_store).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parametrized case records its DivergenceEntry; the test itself records-and-passes (this is correct per PRD §7.6 — the report IS the artifact).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the per-cell triage entries in the reconciliation report (PRD §7.8).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BF8F00"/>
          <w:sz w:val="24"/>
          <w:szCs w:val="24"/>
        </w:rPr>
        <w:t xml:space="preserve">M-9  </w:t>
      </w:r>
      <w:r>
        <w:rPr>
          <w:rFonts w:ascii="Arial" w:cs="Arial" w:eastAsia="Arial" w:hAnsi="Arial"/>
          <w:b/>
          <w:bCs/>
          <w:color w:val="BF8F00"/>
          <w:sz w:val="22"/>
          <w:szCs w:val="22"/>
        </w:rPr>
        <w:t xml:space="preserve">MAJOR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Outputs hash not written to audit.json (PRD §11.4); peak memory and MC trial non-convergence rate not recorded.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src/spacex_model/engine/pipeline.py L561–576 assembles the audit dict (inputs_hash, solver_*, dispositions, divergence stub) but does not compute Outputs hash. Peak memory and (for MC runs) trial non-convergence rate are not in the dict.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§11.4: "Outputs hash: SHA256 of (Group + per-module FCFs + EV)." Plus "Wall-clock time, peak memory." PRD §13.4 mitigation: "MC runner records non-convergence rate; if &gt; 1% of trials non-converge, escalate to Vlad."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§11.5 byte-stable reproducibility is unverifiable post-hoc without an outputs hash. The MC layer cannot trigger the PRD §13.4 escalation rule because it does not aggregate non-convergence rate. Peak memory is the headline metric for the 8GB budget in PRD §10.9.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outputs_hash = sha256(json.dumps(sorted_dict_of(group_fcf_values, per_module_fcf_values, ev))). Write to audit.json.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peak memory via tracemalloc or psutil at the end of the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mc/runner.py aggregate { trial_idx: converged } and write a non_convergence_rate field to the MC audit.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8.3 Minor findings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Six Minor findings. Acceptable to ship under a documented backlog.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m-1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calc/starlink/per_vehicle_irr.py absent; per-vehicle IRR logic distributed across output.py and allocator/irr_display.py.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§15:1395 names calc/starlink/per_vehicle_irr.py. Not present. PRD §4.3 sub-package list also names it.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Acceptable refactor in principle (responsibility is fulfilled), but cross-references from the spec to the code become ambiguous: a maintainer reading PRD §4.3 looking for the four IRR engines (V2 BB, V2 DTC, V3 BB, V3 DTC) cannot land on a single file.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Either (a) create calc/starlink/per_vehicle_irr.py as a thin module re-exporting the four engine functions, or (b) amend PRD §15 to reflect the actual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the docstring "Architecture ref:" tags in the affected functions to cite §8.x consistently.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m-2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AI Stack sub-package files (compute.py, application.py, orchestration.py, business_model_switch.py) lack the four-tag docstring required by PRD §4.7.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Evidence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grep "Excel cell:" returns 0 hits in src/spacex_model/calc/ai_stack/{compute,application,orchestration,business_model_switch}.py. These files are stubs per D3 (v1.x landing); PRD §4.7 module-stub validation pass requires "Architecture spec section citation in its module docstring" for every module file, regardless of stub status.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single module-level docstring to each stub citing the AI Stack scoping doc section and the §10.3 / D3 deferral.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Optional: add the four-tag block at module level (Excel cell: 'AI Stack tab (stub)'; Architecture ref: §10.x; etc.) so a future Block D parametrize cleanly walks the file when Sprint 6 lands.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m-3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Negative-IRR strict-cutoff has no static or runtime test.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§7.1 (Block A): "Modules with Blended IRR ≤ 0 → zero cash + zero kg allocation every year (strict)." PRD §2.6: "Negative IRR → zero allocation (strict cutoff, no SPW floor multiplier)."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allocator implements the cutoff (sigmoid weight = max(IRR, 0)^k zeros out negative-IRR modules by construction), but there is no test that exercises a synthetic negative-IRR module and asserts the allocation row is zero. Under D6 (ODC negative IRR), the cutoff is the binding allocator behavior; without a test it could silently regress.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Block A unit test that constructs a synthetic AllocatorInputs with one module having Blended IRR = −0.01 and asserts cash_alloc[that_module] == 0 every year.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m-4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Σ module kg allocation ≤ Capacity available has no standalone test (only cash bound is tested).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engine/conservation.py L29–53 check_allocation_bounds() takes CashAllocations only. No equivalent check for KgAllocations.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§7.1 (Block A): "Σ module kg allocations ≤ Capacity available for IRR queue every year."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check_kg_allocation_bounds() symmetric to the cash variant; pipe the LaunchCapacity "Total Annual Capacity (kg-to-LEO)" net of vehicle-build claim as the available capacity.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Surface in tests/reconciliation/test_block_a.py.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m-5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Per-vehicle / per-launch IRR engine edge cases (all-negative, all-positive, mixed-sign) not unit-tested.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§2.6 enforcement test: "per-engine unit tests cover edge cases — all-negative cash flows return −1.0 (cutoff convention), all-positive cash flows return a valid IRR, multi-start Newton converges to the right root for mixed-sign streams." PRD §10.1: "Excel IRR parity within 1e-3 absolute tolerance on randomly generated streams."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domain/irr.py L66–83 is well-typed but the unit-test pack is absent. Customer Launch's expected ~1700% F9 IRR (D4 disposition) sits exactly in the multi-start convergence danger zone.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tests/unit/test_irr_engine.py with the three PRD §2.6 cases plus a hypothesis-generated random-stream parity check against numpy_financial.irr.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m-6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MINOR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Spell-check linter not configured; US English compliance is an emergent invariant, not enforced.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PRD authority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PRD §2.12 + §10.9: "Spell-check pass (US English per §2.12)." Memory 3.5.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Impact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Today no British spellings exist in src/ (verified). However the rule has no automated enforcement; any contributor (or LLM-generated PR) could re-introduce 'modelling' / 'optimisation' silently.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tiny CI step grepping for the known-bad spellings list (modelling, modelled, behaviour, optimisation, optimised, colour, organisation, programme, centre, labelled, catalogue, recognise, defence, licence) over *.py *.md *.yaml *.json and fail on hit.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use codespell with a tight curated dictionary if a broader corpus is needed.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8.4 Observations (compliance positively noted)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Five Observations. These document what is well executed and explain the favorable parts of the assessment, in keeping with audit balance.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O-1  </w:t>
      </w: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OBSERVATION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Vending-machine, demand-output decoupling, queue gate, IRR engine, anchor-and-offset, canonical labels, Mars t-1, LM BV separation, pre-IPO debt, switching R&amp;D, first-year override are all faithfully implemented and AST-walk linter-enforced where applicable.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are the architectural locks I would have called out as the highest-risk-to-implement-correctly in the original PRD authorship. The port has executed each cleanly. Specifically: (a) the demand-output decoupling per Sprint 11f Option A is type-level (frozen dataclasses) AND statically asserted via AST walk (linters/demand_output.py); (b) the canonical-label registry has 659 Final[str] constants populated from extract_canonical_labels.py, and the AST-walking linter scans the full calc/ tree (not just Phase B — note this is a different and broader scope than the docstring linter that C-4 flags); (c) the IRR engine is single-source (domain/irr.py) and consumed by every module; (d) Mars carve-out takes prior_year_group_fcf as an explicit signature parameter, not group_fcf[year-1]; (e) LM BV's separation of accumulated_book_value (SoTP input) from module_da (Group D&amp;A input) is clean and grep-verified to have no transitive coupling. The combined effect is that the constitutional layer the PRD names as non-negotiable is well honored.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O-2  </w:t>
      </w: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OBSERVATION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Iterative solver implementation matches PRD §6 contract; monitored-quantity coverage is comprehensive.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Evidence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engine/iterative_solver.py L56–114 implements the prescribed fixed-point loop with max 100 iters, 0.001 tolerance, damping default 0.5, and explicit NonConvergenceError. engine/pipeline.py L442–462 monitors group_revenue, group_fcf, every CashAllocations field, every KgAllocations field, every module CapEx via _MODULE_KEYS, plus cash_boy and mars_carveout. Per-iteration trace is written to outputs/&lt;run_id&gt;/solver_trace.json. Damping is applied only to monitored quantities (the {**proposed_state, "monitored_blend": ...} pattern at L104–110) which is architecturally correct for the §3.2 within-year simultaneity loops.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O-3  </w:t>
      </w: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OBSERVATION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mypy --strict is configured; spot-check type-hint coverage on the largest calc files is complete.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Evidence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pyproject.toml [tool.mypy] strict = true. Sample audits of calc/group_pnl.py, calc/opex.py, calc/capex.py, calc/allocator/brain.py, engine/iterative_solver.py all show complete parameter and return type annotations, no implicit Any leak. The strict mode + Final[str] discipline in canonical_labels.py is genuinely producing audit-grade typed code. Concern: M-3 means strict-mode failures only surface to developers running mypy locally.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O-4  </w:t>
      </w: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OBSERVATION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MC engine (mc/distributions, mc/sampler, mc/runner, mc/aggregator, mc/sensitivity) is well-scaffolded; deferrals (Sobol, 2D joint distributions, PRCC) are reasonable v1.x backlog.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seven distribution types from PRD §8.1 are present with scipy backing. Per-trial seed = base_seed + trial_idx is correctly implemented. joblib.Parallel runner with parquet checkpointing is in place. Tornado, P5–P95 percentiles, and CVaR(5%) are present. The deferrals — Sobol low-discrepancy sampling, 2D joint distribution (Mars × Starship $/kg → EV), full PRCC — are explicitly named in PRD §8 as optional/v2 enhancements and are appropriate to ship under a backlog. Recommend explicit documentation of the deferrals in docs/changelog.md so the gap is auditable.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548235"/>
          <w:sz w:val="24"/>
          <w:szCs w:val="24"/>
        </w:rPr>
        <w:t xml:space="preserve">O-5  </w:t>
      </w: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OBSERVATION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  —  Service layer (FastAPI + React/Vite frontend) is wired through to the audit lineage panel; the Phase G surface meets PRD §9.1 v1 scope.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Comment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service/api.py exposes /scenarios, /runs/deterministic, /runs/mc, /lineage/{key}, /health. service/lineage.py parses the four-tag docstrings via regex (lineage.py L46–53) to build the LineageEntry per PRD §9.1. service/jobs.py implements an in-process MC job manager with QUEUED/RUNNING/COMPLETED/FAILED states. service/cache.py (Redis) and service/auth.py (API key) are present for the deployment story in PRD §9.3 / §9.4. The frontend/ directory ships a Vite-built React app per the README. Combined with M-1 (audit.py stub), the lineage panel works at runtime but cannot regenerate a reproducible off-line lineage CSV. Recommend addressing M-1 in tandem with hardening this layer.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Remediation Roadmap (G4 / G5 Unblock List)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Ordered by sign-off impact. Items 1–5 (Critical) are PRE-G4 prerequisites. Items 6–11 (Major) are G4 conditional / G5 prerequisites. Items 12–17 (Minor) are v1.1 backlog.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5500"/>
        <w:gridCol w:w="1300"/>
        <w:gridCol w:w="13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 CONSERVATION_RESIDUAL_TOLERANCE_MM = $1M to R102; decompose R110 residual into named sub-components.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R109 cash-flow identity per PRD §5.4; assert bridge term per §2.13.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bandwidth.py + compute.py source-side rate functions; tighten R106 / R107.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owners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Widen docstring linter scope from PHASE_B_SCAN to full calc/ tree walk; back-fill missing tags.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compute_conservation to engine/conservation.py; add raise_on_break(); wire to pipeline.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cli/audit.py; regenerate docs/model_translation_log.csv and docs/architecture_diagram.md.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hypothesis max_examples=200, deadline=10000; expand perturbation strategy.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M-3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 up CI pipeline (.github/workflows/ci.yml) with all PRD §10.9 items.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Reorganize tests/ to tests/reconciliation/test_block_*.py, tests/unit/, tests/golden/.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M-5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Parametrized Block B anchor harness (full §6.8 set).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M-6 / M-7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missing Block C sense checks; D4 / D6 markers; Block D architecture-coverage test.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M-8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Reshape diagnostic divergence harness to per-cell parametrize.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M-9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outputs hash, peak memory, MC non-convergence rate to audit.json.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G5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m-1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starlink/per_vehicle_irr.py thin re-export module OR amend PRD §15.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lead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m-2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module docstrings to AI Stack stub files.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m-3 / m-4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Negative-IRR cutoff test; kg-allocation-bound test.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m-5 / m-6</w:t>
            </w:r>
          </w:p>
        </w:tc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IRR engine edge-case unit tests; spell-check CI step.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owner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Sign-Off Recommendation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role.md operating principle: "Numerical equivalence is sacred. Every material output must match the original model within documented floating-point tolerance. You never accept 'close enough' without explicit reconciliation and sign-off."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Although the present audit explicitly excludes numerical equivalence, the structural findings above bear on the institution's ability to TRUST any numerical claim the model publishes.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C-1, C-2, C-5 compound to mean R108 = "OK" is not a trustworthy signal today. Until these are remediated, conservation cannot serve as the audit anchor PRD §15.2 names it 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C-3 means two of three internal flows are unenforceable for PRD §2.9 four-step conservation and §2.15 fully-allocated at-cost pricing. Any per-sat compute economics, any Starlink ↔ Starlink Capacity bandwidth pricing, runs without a source-side rate audit.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C-4 means Block D "every public function in calc/ has four-tag docstring" is restricted to a 24-file subset. The lineage panel that the consumer-facing UI promises is integrity-checked only on those files.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My recommendation is that v1 does NOT pass G4 sign-off until C-1 through C-5 are remediated. The Major findings are appropriate to address sequentially under G4 conditional / G5 prerequisite status, with explicit changelog entries and Vlad-equivalent sign-off on each. The Minor findings and Observations are documented for completeness and v1.1 backlog grooming.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favorable assessment: the architectural backbone of the port — the vending-machine framing, the demand/output type-level decoupling that implements Sprint 11f Option A, the canonical-label registry, the per-unit IRR engine, the Mars t-1 carve-out, the LM BV separation, the iterative solver contract — is well implemented and AST-walk-enforced where applicable. The remediation needed is concentrated at the audit and enforcement layer, not the calculation logic itself. With Critical items addressed and Major items scheduled, this port has a defensible path to G4 and an institutional-grade v1 deliverable.</w:t>
      </w:r>
    </w:p>
    <w:p>
      <w:pPr>
        <w:spacing w:after="60" w:befor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Respectfully submitted,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Dr. Marcus Hale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Principal Financial Engineer · Port lead, Mach33 SpaceX Valuation Model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2026-05-28</w:t>
      </w: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END OF MEMO.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·   CONFIDENTIAL — institutional audit memo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Arial" w:cs="Arial" w:eastAsia="Arial" w:hAnsi="Arial"/>
        <w:color w:val="595959"/>
        <w:sz w:val="18"/>
        <w:szCs w:val="18"/>
      </w:rPr>
      <w:t xml:space="preserve">Mach33 SpaceX Valuation Model — Python Port  |  Technical Code Audit  |  2026-05-28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SpaceX Modeler Python Port — Technical Code Audit</dc:title>
  <dc:creator>Dr. Marcus Hale (Mach33 port lead)</dc:creator>
  <dc:description>PRD adherence &amp; function audit; numerical equivalence out of scope.</dc:description>
  <cp:lastModifiedBy>Un-named</cp:lastModifiedBy>
  <cp:revision>1</cp:revision>
  <dcterms:created xsi:type="dcterms:W3CDTF">2026-05-28T16:38:01.345Z</dcterms:created>
  <dcterms:modified xsi:type="dcterms:W3CDTF">2026-05-28T16:38:01.346Z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