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5A88"/>
          <w:sz w:val="40"/>
          <w:szCs w:val="40"/>
        </w:rPr>
        <w:t xml:space="preserve">Trading Architect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How to use the current build — a practical daily-driver guide</w:t>
      </w:r>
    </w:p>
    <w:p>
      <w:pPr>
        <w:pBdr>
          <w:bottom w:val="single" w:color="2E5A88" w:sz="6" w:space="1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Build status: M1–M6 complete + v1.1 attribution-aware governor  ·  Updated 2026-05-26</w:t>
      </w:r>
    </w:p>
    <w:p>
      <w:pPr>
        <w:spacing w:after="120" w:line="276"/>
      </w:pPr>
      <w:r>
        <w:t xml:space="preserve">This is your working reference for the local position-sizing app as it stands today. It is organized around the Streamlit UI, the way you'll actually use it day to day. The closing section is the important one: it tells you which numbers you can lean on now and which are still latent or should be read with caution, so you don't over-trust a figure the engine can't yet fully compute.</w:t>
      </w:r>
    </w:p>
    <w:p>
      <w:pPr>
        <w:pStyle w:val="Heading1"/>
      </w:pPr>
      <w:r>
        <w:t xml:space="preserve">1. Launching the app</w:t>
      </w:r>
    </w:p>
    <w:p>
      <w:pPr>
        <w:spacing w:after="120" w:line="276"/>
      </w:pPr>
      <w:r>
        <w:t xml:space="preserve">From the project folder, with the virtual environment active, start the UI with: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EAF0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streamlit run app/streamlit_app.py</w:t>
      </w:r>
    </w:p>
    <w:p>
      <w:pPr>
        <w:spacing w:after="120" w:line="276"/>
      </w:pPr>
      <w:r>
        <w:t xml:space="preserve">The app opens on the </w:t>
      </w:r>
      <w:r>
        <w:rPr>
          <w:b/>
          <w:bCs/>
        </w:rPr>
        <w:t xml:space="preserve">Dashboard</w:t>
      </w:r>
      <w:r>
        <w:t xml:space="preserve">. Navigate between the nine pages using the sidebar on the left. The sidebar also carries a </w:t>
      </w:r>
      <w:r>
        <w:rPr>
          <w:b/>
          <w:bCs/>
        </w:rPr>
        <w:t xml:space="preserve">drawdown governor</w:t>
      </w:r>
      <w:r>
        <w:t xml:space="preserve"> indicator that is always visible, so you can see the current risk state from any page. If a page tells you to import data first, start under </w:t>
      </w:r>
      <w:r>
        <w:rPr>
          <w:b/>
          <w:bCs/>
        </w:rPr>
        <w:t xml:space="preserve">Import Data</w:t>
      </w:r>
      <w:r>
        <w:t xml:space="preserve">.</w:t>
      </w:r>
    </w:p>
    <w:p>
      <w:pPr>
        <w:spacing w:after="120" w:line="276"/>
      </w:pPr>
      <w:r>
        <w:t xml:space="preserve">Credentials for the broker APIs (Robinhood, Schwab) load automatically from a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file in the project root — copy </w:t>
      </w:r>
      <w:r>
        <w:rPr>
          <w:rFonts w:ascii="Consolas" w:cs="Consolas" w:eastAsia="Consolas" w:hAnsi="Consolas"/>
          <w:sz w:val="19"/>
          <w:szCs w:val="19"/>
        </w:rPr>
        <w:t xml:space="preserve">.env.example</w:t>
      </w:r>
      <w:r>
        <w:t xml:space="preserve"> and fill it in once. You never have to re-enter them in the UI unless you want to override for a single session.</w:t>
      </w:r>
    </w:p>
    <w:p>
      <w:pPr>
        <w:pStyle w:val="Heading1"/>
      </w:pPr>
      <w:r>
        <w:t xml:space="preserve">2. The daily workflow</w:t>
      </w:r>
    </w:p>
    <w:p>
      <w:pPr>
        <w:spacing w:after="120" w:line="276"/>
      </w:pPr>
      <w:r>
        <w:t xml:space="preserve">A typical session moves top-to-bottom through the sidebar. Here is what each page is for and how to drive it.</w:t>
      </w:r>
    </w:p>
    <w:p>
      <w:pPr>
        <w:pStyle w:val="Heading2"/>
      </w:pPr>
      <w:r>
        <w:t xml:space="preserve">Import Data — get fills into the store</w:t>
      </w:r>
    </w:p>
    <w:p>
      <w:pPr>
        <w:spacing w:after="120" w:line="276"/>
      </w:pPr>
      <w:r>
        <w:t xml:space="preserve">Three tabs: </w:t>
      </w:r>
      <w:r>
        <w:rPr>
          <w:b/>
          <w:bCs/>
        </w:rPr>
        <w:t xml:space="preserve">CSV upload</w:t>
      </w:r>
      <w:r>
        <w:t xml:space="preserve"> (drop a Robinhood, Schwab/thinkorswim, or Tradovate export and pick the broker + account label), </w:t>
      </w:r>
      <w:r>
        <w:rPr>
          <w:b/>
          <w:bCs/>
        </w:rPr>
        <w:t xml:space="preserve">Robinhood API</w:t>
      </w:r>
      <w:r>
        <w:t xml:space="preserve"> (pulls the Roth IRA, which has no CSV export, plus a portfolio snapshot of cash and holdings you can push straight into your starting equity), and </w:t>
      </w:r>
      <w:r>
        <w:rPr>
          <w:b/>
          <w:bCs/>
        </w:rPr>
        <w:t xml:space="preserve">Schwab API</w:t>
      </w:r>
      <w:r>
        <w:t xml:space="preserve"> (Trader API after a one-time OAuth login). </w:t>
      </w:r>
      <w:r>
        <w:rPr>
          <w:b/>
          <w:bCs/>
        </w:rPr>
        <w:t xml:space="preserve">Imports are idempotent</w:t>
      </w:r>
      <w:r>
        <w:t xml:space="preserve"> — re-importing the same file skips duplicates rather than double-counting, and anything it can't parse cleanly is routed to the Review Queue instead of silently dropped. A Tradovate import also surfaces a futures performance summary (P/L, win rate, expectancy).</w:t>
      </w:r>
    </w:p>
    <w:p>
      <w:pPr>
        <w:pStyle w:val="Heading2"/>
      </w:pPr>
      <w:r>
        <w:t xml:space="preserve">Dashboard — the morning glance</w:t>
      </w:r>
    </w:p>
    <w:p>
      <w:pPr>
        <w:spacing w:after="120" w:line="276"/>
      </w:pPr>
      <w:r>
        <w:t xml:space="preserve">Top row: trade events, positions, account equity, and effective drawdown. Below that, a </w:t>
      </w:r>
      <w:r>
        <w:rPr>
          <w:b/>
          <w:bCs/>
        </w:rPr>
        <w:t xml:space="preserve">book-exposure-vs-caps</w:t>
      </w:r>
      <w:r>
        <w:t xml:space="preserve"> table for each silo (stock/options and futures) showing heat, the heat cap, leverage, the leverage cap, and the governor state. A warning banner appears if anything is sitting in the review queue, and recent imports are listed at the bottom.</w:t>
      </w:r>
    </w:p>
    <w:p>
      <w:pPr>
        <w:pStyle w:val="Heading2"/>
      </w:pPr>
      <w:r>
        <w:t xml:space="preserve">Size a Trade — the core tool</w:t>
      </w:r>
    </w:p>
    <w:p>
      <w:pPr>
        <w:spacing w:after="120" w:line="276"/>
      </w:pPr>
      <w:r>
        <w:t xml:space="preserve">Pick the silo and asset (stock, option, or future), type the underlying, entry, and either a stop (stock/futures) or premium + delta (options). Optionally add ATR for volatility normalization. Hit </w:t>
      </w:r>
      <w:r>
        <w:rPr>
          <w:b/>
          <w:bCs/>
        </w:rPr>
        <w:t xml:space="preserve">Recommend size</w:t>
      </w:r>
      <w:r>
        <w:t xml:space="preserve">. You get a recommended quantity plus dollar risk, delta notional, heat-after, and leverage-after, a plain-English </w:t>
      </w:r>
      <w:r>
        <w:rPr>
          <w:b/>
          <w:bCs/>
        </w:rPr>
        <w:t xml:space="preserve">rationale</w:t>
      </w:r>
      <w:r>
        <w:t xml:space="preserve">, and — most useful — the </w:t>
      </w:r>
      <w:r>
        <w:rPr>
          <w:b/>
          <w:bCs/>
        </w:rPr>
        <w:t xml:space="preserve">binding constraint</w:t>
      </w:r>
      <w:r>
        <w:t xml:space="preserve"> that actually limited the size. Expand </w:t>
      </w:r>
      <w:r>
        <w:rPr>
          <w:b/>
          <w:bCs/>
        </w:rPr>
        <w:t xml:space="preserve">Layer breakdown</w:t>
      </w:r>
      <w:r>
        <w:t xml:space="preserve"> to see all six sizing layers (fractional risk → volatility → Kelly → equity scaling → ceilings) and where each one landed.</w:t>
      </w:r>
    </w:p>
    <w:p>
      <w:pPr>
        <w:pStyle w:val="Heading2"/>
      </w:pPr>
      <w:r>
        <w:t xml:space="preserve">Option Selector — express a thesis as a contract</w:t>
      </w:r>
    </w:p>
    <w:p>
      <w:pPr>
        <w:spacing w:after="120" w:line="276"/>
      </w:pPr>
      <w:r>
        <w:t xml:space="preserve">Enter underlying, spot, target price, direction (long call / long put), expected hold in days, and path (gradual or fast). Upload an option-chain CSV or fetch a live chain from Schwab. It ranks candidate contracts by a greeks-based composite score with projected return, projected R, and a suggested contract count. This is </w:t>
      </w:r>
      <w:r>
        <w:rPr>
          <w:b/>
          <w:bCs/>
        </w:rPr>
        <w:t xml:space="preserve">expression optimization only</w:t>
      </w:r>
      <w:r>
        <w:t xml:space="preserve"> — it never predicts whether the trade will work or whether you should take it, and it carries that disclaimer on screen.</w:t>
      </w:r>
    </w:p>
    <w:p>
      <w:pPr>
        <w:pStyle w:val="Heading2"/>
      </w:pPr>
      <w:r>
        <w:t xml:space="preserve">Current Positions — blended exposure vs caps</w:t>
      </w:r>
    </w:p>
    <w:p>
      <w:pPr>
        <w:spacing w:after="120" w:line="276"/>
      </w:pPr>
      <w:r>
        <w:t xml:space="preserve">Filter by silo and status (open / all / closed). Shows each position's blended risk, notional, premium at risk, realized P&amp;L, epoch, and governor state, with silo totals against the heat and leverage caps underneath.</w:t>
      </w:r>
    </w:p>
    <w:p>
      <w:pPr>
        <w:pStyle w:val="Heading2"/>
      </w:pPr>
      <w:r>
        <w:t xml:space="preserve">Alpha Left on the Table — the whole point</w:t>
      </w:r>
    </w:p>
    <w:p>
      <w:pPr>
        <w:spacing w:after="120" w:line="276"/>
      </w:pPr>
      <w:r>
        <w:t xml:space="preserve">Choose a counterfactual rule (1% or 2% fractional risk, or ¼ / ⅓ / ½ Kelly) and the engine replays your actual entries and exits at that sizing, holding timing fixed, to quantify how much you left on the table. Results are segmented by silo and </w:t>
      </w:r>
      <w:r>
        <w:rPr>
          <w:b/>
          <w:bCs/>
        </w:rPr>
        <w:t xml:space="preserve">methodology epoch</w:t>
      </w:r>
      <w:r>
        <w:t xml:space="preserve"> so your post-change trading isn't diluted by stale pre-change data, with an R-distribution summary and an optional per-trade drill-down.</w:t>
      </w:r>
    </w:p>
    <w:p>
      <w:pPr>
        <w:pStyle w:val="Heading2"/>
      </w:pPr>
      <w:r>
        <w:t xml:space="preserve">Edge &amp; Risk Review — should I step up?</w:t>
      </w:r>
    </w:p>
    <w:p>
      <w:pPr>
        <w:spacing w:after="120" w:line="276"/>
      </w:pPr>
      <w:r>
        <w:t xml:space="preserve">Bootstrap edge estimates with confidence intervals, gated on the </w:t>
      </w:r>
      <w:r>
        <w:rPr>
          <w:b/>
          <w:bCs/>
        </w:rPr>
        <w:t xml:space="preserve">lower confidence bound</w:t>
      </w:r>
      <w:r>
        <w:t xml:space="preserve">, produce a recommendation per silo: step up Kelly / step up base f / hold / de-risk / insufficient data, with an "approximately N more trades" message when you're close to the threshold. Step-up decisions use the post-change epoch. The </w:t>
      </w:r>
      <w:r>
        <w:rPr>
          <w:b/>
          <w:bCs/>
        </w:rPr>
        <w:t xml:space="preserve">Statistics</w:t>
      </w:r>
      <w:r>
        <w:t xml:space="preserve"> expander shows the full numbers behind each call.</w:t>
      </w:r>
    </w:p>
    <w:p>
      <w:pPr>
        <w:pStyle w:val="Heading2"/>
      </w:pPr>
      <w:r>
        <w:t xml:space="preserve">Review Queue &amp; Settings</w:t>
      </w:r>
    </w:p>
    <w:p>
      <w:pPr>
        <w:spacing w:after="120" w:line="276"/>
      </w:pPr>
      <w:r>
        <w:rPr>
          <w:b/>
          <w:bCs/>
        </w:rPr>
        <w:t xml:space="preserve">Review Queue</w:t>
      </w:r>
      <w:r>
        <w:t xml:space="preserve"> lists any rows an import couldn't parse, with the raw data, so nothing is lost. </w:t>
      </w:r>
      <w:r>
        <w:rPr>
          <w:b/>
          <w:bCs/>
        </w:rPr>
        <w:t xml:space="preserve">Settings</w:t>
      </w:r>
      <w:r>
        <w:t xml:space="preserve"> is where you set starting equity per silo, edit live base f and Kelly fraction, heat and leverage caps, the drawdown governor thresholds (soft / throttle-start / hard), and methodology epoch dates. Every change is written to an </w:t>
      </w:r>
      <w:r>
        <w:rPr>
          <w:b/>
          <w:bCs/>
        </w:rPr>
        <w:t xml:space="preserve">override log</w:t>
      </w:r>
      <w:r>
        <w:t xml:space="preserve"> so the system stays auditable. Note: live base f and Kelly fraction are edited under </w:t>
      </w:r>
      <w:r>
        <w:rPr>
          <w:b/>
          <w:bCs/>
        </w:rPr>
        <w:t xml:space="preserve">Sizing &amp; caps</w:t>
      </w:r>
      <w:r>
        <w:t xml:space="preserve">, and that single value feeds both the sizing engine and the risk review.</w:t>
      </w:r>
    </w:p>
    <w:p>
      <w:pPr>
        <w:pStyle w:val="Heading1"/>
        <w:pageBreakBefore/>
      </w:pPr>
      <w:r>
        <w:t xml:space="preserve">3. What to trust vs. read with caution</w:t>
      </w:r>
    </w:p>
    <w:p>
      <w:pPr>
        <w:spacing w:after="120" w:line="276"/>
      </w:pPr>
      <w:r>
        <w:t xml:space="preserve">The math that exists in this build is correct and the hard non-goals (no signals, no blending of silos, no order placement) are respected. But a few features are </w:t>
      </w:r>
      <w:r>
        <w:rPr>
          <w:b/>
          <w:bCs/>
        </w:rPr>
        <w:t xml:space="preserve">specified and wired but not yet fully fed with data</w:t>
      </w:r>
      <w:r>
        <w:t xml:space="preserve">. Until the gaps below close, treat the affected numbers accordingly. This is the section to re-read before you act on a borderline call.</w:t>
      </w:r>
    </w:p>
    <w:p>
      <w:pPr>
        <w:pStyle w:val="Heading2"/>
      </w:pPr>
      <w:r>
        <w:t xml:space="preserve">Trust these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Recommended size and the binding constraint</w:t>
      </w:r>
      <w:r>
        <w:t xml:space="preserve"> — the six-layer sizing composes correctly, and the fractional-risk and volatility layers are honest.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Fixed fractional alpha figures</w:t>
      </w:r>
      <w:r>
        <w:t xml:space="preserve"> (1% / 2% rules on the Alpha page) — these are the honest comparators for "alpha left on the table."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Edge &amp; Risk Review</w:t>
      </w:r>
      <w:r>
        <w:t xml:space="preserve"> — bootstrap CIs, lower-bound gating, the step-up ladder, and "N more trades" messaging are implemented and tested, and are deterministic.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Option Selector pricing</w:t>
      </w:r>
      <w:r>
        <w:t xml:space="preserve"> — Black–Scholes repricing at your target is exact.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Ingestion integrity</w:t>
      </w:r>
      <w:r>
        <w:t xml:space="preserve"> — dedup, the review queue, raw-CSV archiving, and epoch tagging all work as described.</w:t>
      </w:r>
    </w:p>
    <w:p>
      <w:pPr>
        <w:pStyle w:val="Heading2"/>
      </w:pPr>
      <w:r>
        <w:t xml:space="preserve">Read these with caution (known gaps)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Leverage cap / delta-notional shows 0×.</w:t>
      </w:r>
      <w:r>
        <w:t xml:space="preserve"> Existing open delta-notional is not yet computed during assembly, so the leverage ceiling only sees the candidate trade itself and the dashboard leverage columns read 0×. The cap will rarely bind in practice today — don't rely on it as your backstop for the options book.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Drawdown is realized-only, not truly mark-to-market.</w:t>
      </w:r>
      <w:r>
        <w:t xml:space="preserve"> Equity is reconstructed from closed-trade P&amp;L; open positions are not yet marked. A position bleeding 18% won't move the governor until it closes. Cross-check open risk yourself before leaning on the governor state.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attribution-aware governor is latent.</w:t>
      </w:r>
      <w:r>
        <w:t xml:space="preserve"> The v1.1 correlation logic is in the code but, because it depends on the MTM marks above, it currently defaults to the conservative (assume-correlated) behavior — identical to the old uniform governor. Safe by design, but you don't yet get the benefit of uncorrelated opportunities being sized at full edge.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Kelly alpha figures are in-sample (optimistic).</w:t>
      </w:r>
      <w:r>
        <w:t xml:space="preserve"> The ¼ / ⅓ / ½ Kelly counterfactuals on the Alpha page derive the Kelly fraction from the same trades being replayed, which inflates the headline number. Treat the Kelly rows as a ceiling, and trust the 1% / 2% rows as the credible figure.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Greeks depend on your chain CSV.</w:t>
      </w:r>
      <w:r>
        <w:t xml:space="preserve"> The selector has no local greek fallback — if your imported chain lacks delta/theta/vega, scoring uses thin defaults. Use a chain export that carries greeks (or the live Schwab fetch) for meaningful rankings.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Closed positions can show stale risk.</w:t>
      </w:r>
      <w:r>
        <w:t xml:space="preserve"> A fully closed position may still display a non-zero stop/premium risk in the "closed/all" view. Open-book heat is unaffected; just don't read the closed-row risk column as live exposure.</w:t>
      </w:r>
    </w:p>
    <w:p>
      <w:pPr>
        <w:pStyle w:val="Heading1"/>
      </w:pPr>
      <w:r>
        <w:t xml:space="preserve">4. Quick reference</w:t>
      </w:r>
    </w:p>
    <w:p>
      <w:pPr>
        <w:spacing w:after="120" w:line="276"/>
      </w:pPr>
      <w:r>
        <w:t xml:space="preserve">The CLI mirrors the UI if you prefer the terminal for a quick check (prefix </w:t>
      </w:r>
      <w:r>
        <w:rPr>
          <w:rFonts w:ascii="Consolas" w:cs="Consolas" w:eastAsia="Consolas" w:hAnsi="Consolas"/>
          <w:sz w:val="19"/>
          <w:szCs w:val="19"/>
        </w:rPr>
        <w:t xml:space="preserve">ta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396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UI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 equivalent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broker fills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 import &lt;csv&gt; --broker &lt;b&gt;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 Roth IRA / portfolio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Data → Robinhood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 fetch-robinhood / fetch-robinhood-portfolio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Size a candidate trade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Size a Trade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 size --silo … --underlying …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 option contracts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 Selector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 options --chain … --target …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Alpha left on the 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Alpha Left on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 evaluate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Step-up / de-risk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&amp; Risk Review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 risk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summary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 status</w:t>
            </w:r>
          </w:p>
        </w:tc>
      </w:tr>
    </w:tbl>
    <w:p>
      <w:pPr>
        <w:spacing w:before="160"/>
      </w:pPr>
      <w:r>
        <w:rPr>
          <w:i/>
          <w:iCs/>
          <w:color w:val="555555"/>
          <w:sz w:val="19"/>
          <w:szCs w:val="19"/>
        </w:rPr>
        <w:t xml:space="preserve">One-line reminder: size with confidence, treat the leverage cap and the drawdown governor as not-yet-binding safety rails, and read the Kelly alpha numbers as an optimistic ceiling — the 1% / 2% figures are the ones to quote.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Trading Architect — User Guide   ·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Trading Architect</dc:creator>
  <cp:lastModifiedBy>Un-named</cp:lastModifiedBy>
  <cp:revision>1</cp:revision>
  <dcterms:created xsi:type="dcterms:W3CDTF">2026-05-26T20:14:44.837Z</dcterms:created>
  <dcterms:modified xsi:type="dcterms:W3CDTF">2026-05-26T20:14:44.838Z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