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B6AA0">
      <w:pP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State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any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two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purpose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of GDPR in Machine Learning.</w:t>
      </w:r>
    </w:p>
    <w:p w14:paraId="0C4DF6FD">
      <w:pP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C5AC1C8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sz w:val="24"/>
          <w:szCs w:val="24"/>
          <w:lang w:val="en-IN" w:eastAsia="zh-CN"/>
        </w:rPr>
        <w:t>1. Protect personal data and privacy of individuals when using data in Machine Learning.</w:t>
      </w:r>
    </w:p>
    <w:p w14:paraId="31FA1693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sz w:val="24"/>
          <w:szCs w:val="24"/>
          <w:lang w:val="en-IN" w:eastAsia="zh-CN"/>
        </w:rPr>
        <w:t>2. Ensure organizations collect and use data legally and transparently with user consent.</w:t>
      </w:r>
    </w:p>
    <w:p w14:paraId="6DCFBC16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Explain the relationship between transparency, accountability, and ethical governance in ML-driven business environ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</w:p>
    <w:p w14:paraId="508A615B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26C8C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ML-driven business environments</w:t>
      </w:r>
      <w:r>
        <w:rPr>
          <w:rFonts w:hint="default" w:ascii="Times New Roman" w:hAnsi="Times New Roman" w:cs="Times New Roman"/>
          <w:b w:val="0"/>
          <w:bCs w:val="0"/>
        </w:rPr>
        <w:t>, transparency, accountability, and ethical governance are closely related and help ensure that AI systems are used responsibly and fairly.</w:t>
      </w:r>
    </w:p>
    <w:p w14:paraId="1156C1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Transparency</w:t>
      </w:r>
      <w:bookmarkStart w:id="0" w:name="_GoBack"/>
      <w:bookmarkEnd w:id="0"/>
    </w:p>
    <w:p w14:paraId="2A510C3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Transparency means that the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working process of machine learning models is clear and understandable</w:t>
      </w:r>
      <w:r>
        <w:rPr>
          <w:rFonts w:hint="default" w:ascii="Times New Roman" w:hAnsi="Times New Roman" w:cs="Times New Roman"/>
          <w:b w:val="0"/>
          <w:bCs w:val="0"/>
        </w:rPr>
        <w:t>. Organizations should explain how data is collected, how algorithms make decisions, and how results are produced. This helps stakeholders understand the system.</w:t>
      </w:r>
    </w:p>
    <w:p w14:paraId="17A33C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Accountability</w:t>
      </w:r>
    </w:p>
    <w:p w14:paraId="5A5B934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Accountability means that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organizations and decision-makers are responsible for the outcomes of AI systems</w:t>
      </w:r>
      <w:r>
        <w:rPr>
          <w:rFonts w:hint="default" w:ascii="Times New Roman" w:hAnsi="Times New Roman" w:cs="Times New Roman"/>
          <w:b w:val="0"/>
          <w:bCs w:val="0"/>
        </w:rPr>
        <w:t>. If a model makes an incorrect or biased decision, the organization must identify who is responsible and take corrective actions.</w:t>
      </w:r>
    </w:p>
    <w:p w14:paraId="189EF9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Ethical Governance</w:t>
      </w:r>
    </w:p>
    <w:p w14:paraId="2D9FC8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Ethical governance refers to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rules, policies, and guidelines</w:t>
      </w:r>
      <w:r>
        <w:rPr>
          <w:rFonts w:hint="default" w:ascii="Times New Roman" w:hAnsi="Times New Roman" w:cs="Times New Roman"/>
          <w:b w:val="0"/>
          <w:bCs w:val="0"/>
        </w:rPr>
        <w:t xml:space="preserve"> that ensure AI systems are used in a fair, safe, and responsible way. It includes protecting user privacy, avoiding bias, and following legal regulations.</w:t>
      </w:r>
    </w:p>
    <w:p w14:paraId="740D26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Relationship Between Them</w:t>
      </w:r>
    </w:p>
    <w:p w14:paraId="19239AA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Transparency</w:t>
      </w:r>
      <w:r>
        <w:rPr>
          <w:rFonts w:hint="default" w:ascii="Times New Roman" w:hAnsi="Times New Roman" w:cs="Times New Roman"/>
          <w:b w:val="0"/>
          <w:bCs w:val="0"/>
        </w:rPr>
        <w:t xml:space="preserve"> allows people to understand how AI decisions are made.</w:t>
      </w:r>
    </w:p>
    <w:p w14:paraId="48B3A72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This understanding helps ensure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accountability</w:t>
      </w:r>
      <w:r>
        <w:rPr>
          <w:rFonts w:hint="default" w:ascii="Times New Roman" w:hAnsi="Times New Roman" w:cs="Times New Roman"/>
          <w:b w:val="0"/>
          <w:bCs w:val="0"/>
        </w:rPr>
        <w:t>, because responsible parties can be identified.</w:t>
      </w:r>
    </w:p>
    <w:p w14:paraId="3F5623A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Both transparency and accountability support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ethical governance</w:t>
      </w:r>
      <w:r>
        <w:rPr>
          <w:rFonts w:hint="default" w:ascii="Times New Roman" w:hAnsi="Times New Roman" w:cs="Times New Roman"/>
          <w:b w:val="0"/>
          <w:bCs w:val="0"/>
        </w:rPr>
        <w:t>, which ensures AI systems follow ethical and legal standards.</w:t>
      </w:r>
    </w:p>
    <w:p w14:paraId="2686C6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Conclusion</w:t>
      </w:r>
    </w:p>
    <w:p w14:paraId="7795A92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Thus, transparency, accountability, and ethical governance work together to ensure that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machine learning systems are trustworthy, fair, and responsibly used in business decision-making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8744A7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320D1"/>
    <w:rsid w:val="0453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2026-03-16T04:18:00Z</dcterms:created>
  <dc:creator>Anwesha Das</dc:creator>
  <cp:lastModifiedBy>Anwesha Das</cp:lastModifiedBy>
  <dcterms:modified xsi:type="dcterms:W3CDTF">2026-03-16T04:23:04Z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6FAAC4854DBB4112918F2BC3F83A78F6_11</vt:lpwstr>
  </property>
</Properties>
</file>