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Business Note</w:t>
      </w:r>
    </w:p>
    <w:p>
      <w:pPr>
        <w:spacing w:after="260"/>
      </w:pPr>
      <w:r>
        <w:t xml:space="preserve">Reading the Road -- what the routing policy costs Meridian, in dollars</w:t>
      </w:r>
    </w:p>
    <w:p>
      <w:pPr>
        <w:pStyle w:val="Heading1"/>
        <w:spacing w:after="100" w:before="200"/>
      </w:pPr>
      <w:r>
        <w:t xml:space="preserve">Recommendation</w:t>
      </w:r>
    </w:p>
    <w:p>
      <w:pPr>
        <w:spacing w:after="140"/>
      </w:pPr>
      <w:r>
        <w:t xml:space="preserve">Auto-accept a plate read only when every character clears a 0.70 confidence threshold; route anything less confident to a human for review before billing. Pair this policy with a classifier trained on data that matches the real input: printed plate characters, not handwriting. That match matters more than raw model sophistication -- see below.</w:t>
      </w:r>
    </w:p>
    <w:p>
      <w:pPr>
        <w:pStyle w:val="Heading1"/>
        <w:spacing w:after="100" w:before="200"/>
      </w:pPr>
      <w:r>
        <w:t xml:space="preserve">Best case, as validated so far</w:t>
      </w:r>
    </w:p>
    <w:p>
      <w:pPr>
        <w:spacing w:after="140"/>
      </w:pPr>
      <w:r>
        <w:t xml:space="preserve">Using the MLP classifier (trained and tested on matching, printed-style characters) at 4,200 vehicles/day and $8.50 per wrong-bill dispute: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3400"/>
        <w:gridCol w:w="3400"/>
      </w:tblGrid>
      <w:tr>
        <w:tc>
          <w:tcPr>
            <w:tcW w:type="dxa" w:w="2560"/>
            <w:shd w:fill="D9E2F3" w:val="clear"/>
          </w:tcPr>
          <w:p>
            <w:r>
              <w:rPr>
                <w:b/>
                <w:bCs/>
              </w:rPr>
              <w:t xml:space="preserve"/>
            </w:r>
          </w:p>
        </w:tc>
        <w:tc>
          <w:tcPr>
            <w:tcW w:type="dxa" w:w="3400"/>
            <w:shd w:fill="D9E2F3" w:val="clear"/>
          </w:tcPr>
          <w:p>
            <w:r>
              <w:rPr>
                <w:b/>
                <w:bCs/>
              </w:rPr>
              <w:t xml:space="preserve">Volume</w:t>
            </w:r>
          </w:p>
        </w:tc>
        <w:tc>
          <w:tcPr>
            <w:tcW w:type="dxa" w:w="3400"/>
            <w:shd w:fill="D9E2F3" w:val="clear"/>
          </w:tcPr>
          <w:p>
            <w:r>
              <w:rPr>
                <w:b/>
                <w:bCs/>
              </w:rPr>
              <w:t xml:space="preserve">Result</w:t>
            </w:r>
          </w:p>
        </w:tc>
      </w:tr>
      <w:tr>
        <w:tc>
          <w:tcPr>
            <w:tcW w:type="dxa" w:w="2560"/>
          </w:tcPr>
          <w:p>
            <w:r>
              <w:rPr>
                <w:b w:val="false"/>
                <w:bCs w:val="false"/>
              </w:rPr>
              <w:t xml:space="preserve">Auto-accepted</w:t>
            </w:r>
          </w:p>
        </w:tc>
        <w:tc>
          <w:tcPr>
            <w:tcW w:type="dxa" w:w="3400"/>
          </w:tcPr>
          <w:p>
            <w:r>
              <w:rPr>
                <w:b w:val="false"/>
                <w:bCs w:val="false"/>
              </w:rPr>
              <w:t xml:space="preserve">~4,148 vehicles/day (98.8%)</w:t>
            </w:r>
          </w:p>
        </w:tc>
        <w:tc>
          <w:tcPr>
            <w:tcW w:type="dxa" w:w="3400"/>
          </w:tcPr>
          <w:p>
            <w:r>
              <w:rPr>
                <w:b w:val="false"/>
                <w:bCs w:val="false"/>
              </w:rPr>
              <w:t xml:space="preserve">100% correct -&gt; ~$0/day dispute cost</w:t>
            </w:r>
          </w:p>
        </w:tc>
      </w:tr>
      <w:tr>
        <w:tc>
          <w:tcPr>
            <w:tcW w:type="dxa" w:w="2560"/>
          </w:tcPr>
          <w:p>
            <w:r>
              <w:rPr>
                <w:b w:val="false"/>
                <w:bCs w:val="false"/>
              </w:rPr>
              <w:t xml:space="preserve">Routed to human</w:t>
            </w:r>
          </w:p>
        </w:tc>
        <w:tc>
          <w:tcPr>
            <w:tcW w:type="dxa" w:w="3400"/>
          </w:tcPr>
          <w:p>
            <w:r>
              <w:rPr>
                <w:b w:val="false"/>
                <w:bCs w:val="false"/>
              </w:rPr>
              <w:t xml:space="preserve">~52 vehicles/day (1.2%)</w:t>
            </w:r>
          </w:p>
        </w:tc>
        <w:tc>
          <w:tcPr>
            <w:tcW w:type="dxa" w:w="3400"/>
          </w:tcPr>
          <w:p>
            <w:r>
              <w:rPr>
                <w:b w:val="false"/>
                <w:bCs w:val="false"/>
              </w:rPr>
              <w:t xml:space="preserve">Review cost not yet known -- needs a number from Meridian ops</w:t>
            </w:r>
          </w:p>
        </w:tc>
      </w:tr>
    </w:tbl>
    <w:p>
      <w:pPr>
        <w:spacing w:after="140"/>
      </w:pPr>
      <w:r>
        <w:t xml:space="preserve">This number is a best case: it has only been validated against synthetic plates matching the classifier's own training style, not real-world photos at scale.</w:t>
      </w:r>
    </w:p>
    <w:p>
      <w:pPr>
        <w:pStyle w:val="Heading1"/>
        <w:spacing w:after="100" w:before="200"/>
      </w:pPr>
      <w:r>
        <w:t xml:space="preserve">Conservative case, if real performance looks like the domain-tested numbers</w:t>
      </w:r>
    </w:p>
    <w:p>
      <w:pPr>
        <w:spacing w:after="140"/>
      </w:pPr>
      <w:r>
        <w:t xml:space="preserve">The project also trained a CNN on real handwritten characters, then tested it on the same printed plate task -- a stand-in for what happens if a deployed model doesn't match its input as well as the MLP does. Plate-level accuracy fell to 43-62% depending on image quality. Applying the same cost formula: wrong-bill exposure would run roughly $13,700 to $20,200 per day, not near zero.</w:t>
      </w:r>
    </w:p>
    <w:p>
      <w:pPr>
        <w:spacing w:after="140"/>
      </w:pPr>
      <w:r>
        <w:t xml:space="preserve">The more important finding for this decision: under clean, light, and moderate conditions, the confidence threshold barely reduced auto-accept rate (stayed near 98-100%) even though accuracy was only 55-62% -- meaning most of those errors were confidently wrong and slipped through the safety net rather than being caught by it. Only under heavy noise did the model appropriately lose confidence and route more to a human (56.7% auto-accept). This is exactly why classifier choice matters here: a model that is wrong but confident defeats the routing policy; a model that is wrong but appropriately unsure does not.</w:t>
      </w:r>
    </w:p>
    <w:p>
      <w:pPr>
        <w:pStyle w:val="Heading1"/>
        <w:spacing w:after="100" w:before="200"/>
      </w:pPr>
      <w:r>
        <w:t xml:space="preserve">Bottom line for the COO</w:t>
      </w:r>
    </w:p>
    <w:p>
      <w:pPr>
        <w:pStyle w:val="ListParagraph"/>
        <w:numPr>
          <w:ilvl w:val="0"/>
          <w:numId w:val="1"/>
        </w:numPr>
        <w:spacing w:after="60"/>
      </w:pPr>
      <w:r>
        <w:t xml:space="preserve">The routing policy itself is sound and does what it's designed to do -- when paired with a classifier whose confidence is trustworthy.</w:t>
      </w:r>
    </w:p>
    <w:p>
      <w:pPr>
        <w:pStyle w:val="ListParagraph"/>
        <w:numPr>
          <w:ilvl w:val="0"/>
          <w:numId w:val="1"/>
        </w:numPr>
        <w:spacing w:after="60"/>
      </w:pPr>
      <w:r>
        <w:t xml:space="preserve">The MLP's near-zero cost estimate is real but not yet proven at scale; it needs validation against real plate photos before it's treated as a guarantee.</w:t>
      </w:r>
    </w:p>
    <w:p>
      <w:pPr>
        <w:pStyle w:val="ListParagraph"/>
        <w:numPr>
          <w:ilvl w:val="0"/>
          <w:numId w:val="1"/>
        </w:numPr>
        <w:spacing w:after="60"/>
      </w:pPr>
      <w:r>
        <w:t xml:space="preserve">The $8.50 figure is being used for both the dispute-resolution cost and, implicitly, the human-review cost -- that second use is a placeholder, not a confirmed number, and should be replaced with a real figure from operations before this goes further.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2026-08-14T03:52:44.401Z</dcterms:created>
  <dcterms:modified xsi:type="dcterms:W3CDTF">2026-08-14T03:52:44.401Z</dcterms:modified>
</cp:coreProperties>
</file>

<file path=docProps/custom.xml><?xml version="1.0" encoding="utf-8"?>
<Properties xmlns="http://schemas.openxmlformats.org/officeDocument/2006/custom-properties" xmlns:vt="http://schemas.openxmlformats.org/officeDocument/2006/docPropsVTypes"/>
</file>