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Reading the Road</w:t>
      </w:r>
    </w:p>
    <w:p>
      <w:pPr>
        <w:spacing w:after="40"/>
      </w:pPr>
      <w:r>
        <w:t xml:space="preserve">Approach Document -- Automated Number Plate Reader Prototype</w:t>
      </w:r>
    </w:p>
    <w:p>
      <w:pPr>
        <w:spacing w:after="300"/>
      </w:pPr>
      <w:r>
        <w:t xml:space="preserve">Meridian Access Systems -- ISM 6642 Final Group Project</w:t>
      </w:r>
    </w:p>
    <w:p>
      <w:pPr>
        <w:pStyle w:val="Heading1"/>
        <w:spacing w:after="120" w:before="240"/>
      </w:pPr>
      <w:r>
        <w:t xml:space="preserve">1. Problem framing</w:t>
      </w:r>
    </w:p>
    <w:p>
      <w:pPr>
        <w:spacing w:after="160"/>
      </w:pPr>
      <w:r>
        <w:t xml:space="preserve">Meridian Access Systems runs gated parking at 34 sites. Today's ticket dispensers cost roughly $14,000 each installed, jam regularly, and generate lost-ticket disputes that cost the call center about $8.50 per incident to resolve. The COO wants to know whether plate recognition could replace tickets entirely: the plate becomes the account, the gate opens on entry, and the customer is billed on exit.</w:t>
      </w:r>
    </w:p>
    <w:p>
      <w:pPr>
        <w:spacing w:after="160"/>
      </w:pPr>
      <w:r>
        <w:t xml:space="preserve">A misread is not a neutral event. It bills the wrong customer, which produces a refund, a support call, and an annoyed regular customer. At 4,200 vehicles per day, even a 2% plate-level error rate works out to roughly 30,000 wrong bills a year. That reframes the real design question: it isn't "how accurate can we get," it's "which reads do we trust automatically, and which do we route to a human before anyone gets billed."</w:t>
      </w:r>
    </w:p>
    <w:p>
      <w:pPr>
        <w:pStyle w:val="Heading1"/>
        <w:spacing w:after="120" w:before="240"/>
      </w:pPr>
      <w:r>
        <w:t xml:space="preserve">2. Pipeline</w:t>
      </w:r>
    </w:p>
    <w:p>
      <w:pPr>
        <w:spacing w:after="160"/>
      </w:pPr>
      <w:r>
        <w:t xml:space="preserve">The system is a five-stage pipeline. Each stage was built and tested independently before being wired into the full read_plate() function that the live demo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D9E2F3" w:val="clear"/>
          </w:tcPr>
          <w:p>
            <w:r>
              <w:rPr>
                <w:b/>
                <w:bCs/>
              </w:rPr>
              <w:t xml:space="preserve">Stage</w:t>
            </w:r>
          </w:p>
        </w:tc>
        <w:tc>
          <w:tcPr>
            <w:tcW w:type="dxa" w:w="7160"/>
            <w:shd w:fill="D9E2F3" w:val="clear"/>
          </w:tcPr>
          <w:p>
            <w:r>
              <w:rPr>
                <w:b/>
                <w:bCs/>
              </w:rPr>
              <w:t xml:space="preserve">What it does</w:t>
            </w:r>
          </w:p>
        </w:tc>
      </w:tr>
      <w:tr>
        <w:tc>
          <w:tcPr>
            <w:tcW w:type="dxa" w:w="2200"/>
          </w:tcPr>
          <w:p>
            <w:r>
              <w:rPr>
                <w:b w:val="false"/>
                <w:bCs w:val="false"/>
              </w:rPr>
              <w:t xml:space="preserve">Input</w:t>
            </w:r>
          </w:p>
        </w:tc>
        <w:tc>
          <w:tcPr>
            <w:tcW w:type="dxa" w:w="7160"/>
          </w:tcPr>
          <w:p>
            <w:r>
              <w:rPr>
                <w:b w:val="false"/>
                <w:bCs w:val="false"/>
              </w:rPr>
              <w:t xml:space="preserve">A plate image comes in -- either a synthetic, programmatically-rendered plate (for testing) or a real uploaded photo (for the live demo).</w:t>
            </w:r>
          </w:p>
        </w:tc>
      </w:tr>
      <w:tr>
        <w:tc>
          <w:tcPr>
            <w:tcW w:type="dxa" w:w="2200"/>
          </w:tcPr>
          <w:p>
            <w:r>
              <w:rPr>
                <w:b w:val="false"/>
                <w:bCs w:val="false"/>
              </w:rPr>
              <w:t xml:space="preserve">Segmentation</w:t>
            </w:r>
          </w:p>
        </w:tc>
        <w:tc>
          <w:tcPr>
            <w:tcW w:type="dxa" w:w="7160"/>
          </w:tcPr>
          <w:p>
            <w:r>
              <w:rPr>
                <w:b w:val="false"/>
                <w:bCs w:val="false"/>
              </w:rPr>
              <w:t xml:space="preserve">Threshold the image, label connected dark regions, and cut out one crop per character. Segmentation success (right number of characters found) is tracked separately from recognition accuracy, since they are different failure modes.</w:t>
            </w:r>
          </w:p>
        </w:tc>
      </w:tr>
      <w:tr>
        <w:tc>
          <w:tcPr>
            <w:tcW w:type="dxa" w:w="2200"/>
          </w:tcPr>
          <w:p>
            <w:r>
              <w:rPr>
                <w:b w:val="false"/>
                <w:bCs w:val="false"/>
              </w:rPr>
              <w:t xml:space="preserve">Preprocessing</w:t>
            </w:r>
          </w:p>
        </w:tc>
        <w:tc>
          <w:tcPr>
            <w:tcW w:type="dxa" w:w="7160"/>
          </w:tcPr>
          <w:p>
            <w:r>
              <w:rPr>
                <w:b w:val="false"/>
                <w:bCs w:val="false"/>
              </w:rPr>
              <w:t xml:space="preserve">Every character crop -- whether from training data or a live read -- goes through the identical normalization: crop to the ink, resize into a 20x20 box inside a 28x28 canvas, and re-center on the ink's center of mass. Training and inference share this exact function, closing the gap the brief specifically warns about.</w:t>
            </w:r>
          </w:p>
        </w:tc>
      </w:tr>
      <w:tr>
        <w:tc>
          <w:tcPr>
            <w:tcW w:type="dxa" w:w="2200"/>
          </w:tcPr>
          <w:p>
            <w:r>
              <w:rPr>
                <w:b w:val="false"/>
                <w:bCs w:val="false"/>
              </w:rPr>
              <w:t xml:space="preserve">Classification</w:t>
            </w:r>
          </w:p>
        </w:tc>
        <w:tc>
          <w:tcPr>
            <w:tcW w:type="dxa" w:w="7160"/>
          </w:tcPr>
          <w:p>
            <w:r>
              <w:rPr>
                <w:b w:val="false"/>
                <w:bCs w:val="false"/>
              </w:rPr>
              <w:t xml:space="preserve">A trained classifier scores each character crop against all 36 possible classes (digits 0-9, letters A-Z) and returns a confidence per character. Two classifiers were built and compared: a local MLP trained on synthetic printed characters, and a CNN trained on real handwritten EMNIST data.</w:t>
            </w:r>
          </w:p>
        </w:tc>
      </w:tr>
      <w:tr>
        <w:tc>
          <w:tcPr>
            <w:tcW w:type="dxa" w:w="2200"/>
          </w:tcPr>
          <w:p>
            <w:r>
              <w:rPr>
                <w:b w:val="false"/>
                <w:bCs w:val="false"/>
              </w:rPr>
              <w:t xml:space="preserve">Routing</w:t>
            </w:r>
          </w:p>
        </w:tc>
        <w:tc>
          <w:tcPr>
            <w:tcW w:type="dxa" w:w="7160"/>
          </w:tcPr>
          <w:p>
            <w:r>
              <w:rPr>
                <w:b w:val="false"/>
                <w:bCs w:val="false"/>
              </w:rPr>
              <w:t xml:space="preserve">The plate's lowest single-character confidence is compared against a 0.70 threshold. If every character clears it, the plate is auto-accepted. If even one character falls short, the whole plate is routed to a human for review instead of being billed automatically.</w:t>
            </w:r>
          </w:p>
        </w:tc>
      </w:tr>
    </w:tbl>
    <w:p>
      <w:pPr>
        <w:pStyle w:val="Heading1"/>
        <w:spacing w:after="120" w:before="240"/>
      </w:pPr>
      <w:r>
        <w:t xml:space="preserve">3. Data</w:t>
      </w:r>
    </w:p>
    <w:p>
      <w:pPr>
        <w:spacing w:after="160"/>
      </w:pPr>
      <w:r>
        <w:t xml:space="preserve">Two data sources were used, deliberately, for two different purposes.</w:t>
      </w:r>
    </w:p>
    <w:p>
      <w:pPr>
        <w:spacing w:after="160"/>
      </w:pPr>
      <w:r>
        <w:t xml:space="preserve">Synthetic printed plates: generated programmatically with controllable text, font, rotation, and noise. Because the text is chosen, every label is free and exactly correct -- no manual labeling, no limit on volume, and noise can be dialed up or down to report accuracy as a function of image quality, which is what Part H of the notebook does across four conditions (clean, light, moderate, heavy noise).</w:t>
      </w:r>
    </w:p>
    <w:p>
      <w:pPr>
        <w:spacing w:after="160"/>
      </w:pPr>
      <w:r>
        <w:t xml:space="preserve">Real EMNIST (ByClass split): the actual graded model's training data. ByClass preserves natural class frequency, which is heavily imbalanced -- digits vastly outnumber letters, and letter frequency mirrors English text (common E, rare Q). The decision made was to handle this with class-weighted training rather than subsampling, which keeps all available data and costs almost nothing to add. Each class was also capped at a fixed sample count (3,000 train / 1,000 test per class) to keep training tractable within the project timeline; after capping, the resulting class-weight range was mild (0.98x-1.19x).</w:t>
      </w:r>
    </w:p>
    <w:p>
      <w:pPr>
        <w:spacing w:after="160"/>
      </w:pPr>
      <w:r>
        <w:t xml:space="preserve">Test sets with known ground truth: for the synthetic side, ground truth is free by construction. For EMNIST, the real EMNIST test split was held out untouched until final evaluation, following the same train/validation/test discipline as the synthetic side (70/15/15 for synthetic; an 85/15 train/validation split carved from the real training set, with EMNIST's own test split reserved for the one-time final number).</w:t>
      </w:r>
    </w:p>
    <w:p>
      <w:pPr>
        <w:pStyle w:val="Heading1"/>
        <w:spacing w:after="120" w:before="240"/>
      </w:pPr>
      <w:r>
        <w:t xml:space="preserve">4. Modeling</w:t>
      </w:r>
    </w:p>
    <w:p>
      <w:pPr>
        <w:spacing w:after="160"/>
      </w:pPr>
      <w:r>
        <w:t xml:space="preserve">The plan, agreed on August 10th: attempt the CNN first (Part J of the notebook), since it is the real, graded model trained on real handwritten EMNIST data. If it underperformed on the actual task or time ran out, fall back to the MLP architecture that was already working and validated end-to-end in Part E/F.</w:t>
      </w:r>
    </w:p>
    <w:p>
      <w:pPr>
        <w:spacing w:after="160"/>
      </w:pPr>
      <w:r>
        <w:t xml:space="preserve">Both were built. The CNN (two convolutional layers, max pooling, two fully-connected layers, trained with class-weighted cross-entropy loss) reached 92.0% character-level accuracy on real, held-out EMNIST test images -- a legitimate, reproducible result on its native domain. The MLP (two hidden layers, 256 and 128 units) reached 100% character-level accuracy on synthetic, held-out test characters -- expected, since it was trained on data matching its own test distribution exactly, and treated throughout as a closed-loop pipeline sanity check rather than a real-world claim.</w:t>
      </w:r>
    </w:p>
    <w:p>
      <w:pPr>
        <w:spacing w:after="160"/>
      </w:pPr>
      <w:r>
        <w:t xml:space="preserve">The fallback triggered as planned. When the CNN was tested against the same synthetic, printed-style plates used to validate the rest of the pipeline, its plate-level accuracy fell to 43-62% depending on noise condition, even though its character-level accuracy on that same data stayed in the high 80s to low 90s. The MLP, tested identically, stayed at 100% across every condition. The gap is not a quality difference between the two models in general -- the CNN is demonstrably the stronger real-handwriting recognizer. It is a fit difference: the MLP was trained on data that matches the actual application (printed plate characters), and the CNN was not. Per the team's own fallback decision, the MLP is the classifier recommended for the deployed system on this specific task, with the CNN's results reported honestly as the evidence behind that call.</w:t>
      </w:r>
    </w:p>
    <w:p>
      <w:pPr>
        <w:pStyle w:val="Heading1"/>
        <w:spacing w:after="120" w:before="240"/>
      </w:pPr>
      <w:r>
        <w:t xml:space="preserve">5. Evaluation</w:t>
      </w:r>
    </w:p>
    <w:p>
      <w:pPr>
        <w:spacing w:after="160"/>
      </w:pPr>
      <w:r>
        <w:t xml:space="preserve">Four metrics are reported throughout: accuracy (percent of individual characters read correctly), macro precision and macro recall (each averaged equally across all 36 character classes, so common characters can't hide problems with rare ones), and macro F1 (the balance of the two). Segmentation success and recognition accuracy are tracked as separate numbers throughout, per the brief's explicit requirement, since a segmentation failure and a recognition failure are different bugs with different fixes.</w:t>
      </w:r>
    </w:p>
    <w:p>
      <w:pPr>
        <w:spacing w:after="160"/>
      </w:pPr>
      <w:r>
        <w:t xml:space="preserve">Every accuracy number is reported alongside the condition it was measured under: clean, light noise, moderate noise, or heavy noise for the synthetic plate tests, and "real handwritten EMNIST" versus "synthetic printed text" for the domain comparison. Plate-level accuracy (every one of the 7 characters correct) is reported separately from character-level accuracy, since the two compound very differently -- a single wrong character fails an entire plate even when per-character accuracy looks strong.</w:t>
      </w:r>
    </w:p>
    <w:p>
      <w:pPr>
        <w:pStyle w:val="Heading1"/>
        <w:spacing w:after="120" w:before="240"/>
      </w:pPr>
      <w:r>
        <w:t xml:space="preserve">6. Spike</w:t>
      </w:r>
    </w:p>
    <w:p>
      <w:pPr>
        <w:spacing w:after="160"/>
      </w:pPr>
      <w:r>
        <w:t xml:space="preserve">Before committing a week to building anything, two risky assumptions were tested cheaply, using a plate made up for the purpose: (1) can a plate image reliably be split into one crop per character, and (2) does EMNIST's well-documented orientation bug -- images stored transposed relative to the expected upright convention -- actually show up the way the reports describe.</w:t>
      </w:r>
    </w:p>
    <w:p>
      <w:pPr>
        <w:spacing w:after="160"/>
      </w:pPr>
      <w:r>
        <w:t xml:space="preserve">Both were confirmed directly. Segmentation correctly found all 7 characters on both a clean and a noisy version of the same test plate. The EMNIST orientation issue was reproduced on a real downloaded sample (a "Z", label 35) and fixed with a transpose; that fix was then locked in behind a hash-based regression check so a future loader regression would be caught immediately instead of silently training on sideways characters. Neither result changed the plan dramatically, but both de-risked it: the team proceeded with the synthetic-plate approach for the primary test set (a real public dataset such as UFPR-ALPR or CCPD would have meant more integration work than the two-week timeline allows, and both use non-US plate formats), reserving a real photo of a team member's own plate specifically for the live demo's requirement to run on an image the class hasn't seen.</w:t>
      </w:r>
    </w:p>
    <w:p>
      <w:pPr>
        <w:pStyle w:val="Heading1"/>
        <w:spacing w:after="120" w:before="240"/>
      </w:pPr>
      <w:r>
        <w:t xml:space="preserve">7. Scope</w:t>
      </w:r>
    </w:p>
    <w:p>
      <w:pPr>
        <w:spacing w:after="160"/>
      </w:pPr>
      <w:r>
        <w:t xml:space="preserve">In scope: reading a pre-cropped, single plate image end to end -- segmentation, character recognition, and the auto-accept/route-to-human decision, evaluated under multiple synthetic noise conditions and on one real, unseen photo at demo time.</w:t>
      </w:r>
    </w:p>
    <w:p>
      <w:pPr>
        <w:spacing w:after="160"/>
      </w:pPr>
      <w:r>
        <w:t xml:space="preserve">Explicitly out of scope: locating a plate within a larger scene photo (the system assumes the input is already a cropped plate image, not a full parking-lot photo). This was a deliberate, stated decision made early rather than a limitation discovered late.</w:t>
      </w:r>
    </w:p>
    <w:p>
      <w:pPr>
        <w:pStyle w:val="Heading1"/>
        <w:spacing w:after="120" w:before="240"/>
      </w:pPr>
      <w:r>
        <w:t xml:space="preserve">8. Risks</w:t>
      </w:r>
    </w:p>
    <w:p>
      <w:pPr>
        <w:pStyle w:val="ListParagraph"/>
        <w:numPr>
          <w:ilvl w:val="0"/>
          <w:numId w:val="1"/>
        </w:numPr>
        <w:spacing w:after="80"/>
      </w:pPr>
      <w:r>
        <w:t xml:space="preserve">EMNIST-handwriting vs. printed-plate domain gap may lower real-world accuracy below what either model shows in its own native test. This risk materialized during testing (see Section 4) and is reported honestly here and in the Results Summary rather than hidden.</w:t>
      </w:r>
    </w:p>
    <w:p>
      <w:pPr>
        <w:pStyle w:val="ListParagraph"/>
        <w:numPr>
          <w:ilvl w:val="0"/>
          <w:numId w:val="1"/>
        </w:numPr>
        <w:spacing w:after="80"/>
      </w:pPr>
      <w:r>
        <w:t xml:space="preserve">Tight timeline (demo Friday, two-week project) -- prioritized a working end-to-end pipeline over chasing a higher accuracy number, consistent with the brief's own guidance that a defensible lower number beats an unreproducible high one.</w:t>
      </w:r>
    </w:p>
    <w:p>
      <w:pPr>
        <w:pStyle w:val="ListParagraph"/>
        <w:numPr>
          <w:ilvl w:val="0"/>
          <w:numId w:val="1"/>
        </w:numPr>
        <w:spacing w:after="80"/>
      </w:pPr>
      <w:r>
        <w:t xml:space="preserve">Colab GPU session limits -- addressed by training in short runs and capping per-class training data so a full run completes well within a single session.</w:t>
      </w:r>
    </w:p>
    <w:p>
      <w:pPr>
        <w:spacing w:after="200"/>
      </w:pPr>
    </w:p>
    <w:p>
      <w:pPr>
        <w:pStyle w:val="Heading2"/>
        <w:spacing w:after="100" w:before="200"/>
      </w:pPr>
      <w:r>
        <w:t xml:space="preserve">Appendix: AI disclosure</w:t>
      </w:r>
    </w:p>
    <w:p>
      <w:pPr>
        <w:spacing w:after="160"/>
      </w:pPr>
      <w:r>
        <w:t xml:space="preserve">Claude (Anthropic) was used throughout the build as an AI pair-programmer, as the project brief permits and expects: reviewing and debugging code, explaining machine learning concepts (epochs, macro-averaging, precision/recall trade-offs, overfitting), and helping structure this document and the accompanying notebook from the team's own results and decisions. Every design decision, every run, and every number in this document came from the team's own executed code; the author can explain any part of it from memory.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2026-08-14T03:51:12.718Z</dcterms:created>
  <dcterms:modified xsi:type="dcterms:W3CDTF">2026-08-14T03:51:12.719Z</dcterms:modified>
</cp:coreProperties>
</file>

<file path=docProps/custom.xml><?xml version="1.0" encoding="utf-8"?>
<Properties xmlns="http://schemas.openxmlformats.org/officeDocument/2006/custom-properties" xmlns:vt="http://schemas.openxmlformats.org/officeDocument/2006/docPropsVTypes"/>
</file>