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rPr>
          <w:i w:val="0"/>
        </w:rPr>
        <w:t>Долгосрочная программа</w:t>
        <w:br/>
        <w:t>участия команды в стоимости компании</w:t>
      </w:r>
    </w:p>
    <w:p>
      <w:pPr>
        <w:pStyle w:val="Subtitle"/>
      </w:pPr>
      <w:r>
        <w:rPr>
          <w:i w:val="0"/>
        </w:rPr>
        <w:t>Публичное информационное описание: 9% плановых пакетов + 1% резерв СД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>
              <w:t>Главная логика</w:t>
              <w:br/>
              <w:t>Программа связывает вознаграждение ключевых сотрудников с ростом стоимости компании. На исходной базе 100 млн акций 10 млн расчётных единиц экономически соответствуют 10% всех акций: 9 млн распределяются планово за пять лет, ещё 1 млн остаётся отдельным резервом СД. В начале каждого года СД утверждает пакет и число единиц. После года заработанное число определяется автоматически по двум КПЭ, без повторного решения и пересчёта цены.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i w:val="0"/>
        </w:rPr>
        <w:t>Каркас программы — в восьми правилах</w:t>
      </w:r>
    </w:p>
    <w:p>
      <w:pPr>
        <w:ind w:left="397" w:hanging="397"/>
        <w:widowControl/>
      </w:pPr>
      <w:r>
        <w:rPr>
          <w:b/>
          <w:color w:val="2F5597"/>
        </w:rPr>
        <w:t xml:space="preserve">1. </w:t>
      </w:r>
      <w:r>
        <w:rPr>
          <w:b/>
        </w:rPr>
        <w:t>Денежная премия и долгосрочная программа — два разных вознаграждения.</w:t>
      </w:r>
      <w:r>
        <w:t xml:space="preserve"> Премия отвечает за текущий результат. Долгосрочная программа выдаётся дополнительно и связывает личный результат с ростом стоимости компании.</w:t>
      </w:r>
    </w:p>
    <w:p>
      <w:pPr>
        <w:ind w:left="397" w:hanging="397"/>
        <w:widowControl/>
      </w:pPr>
      <w:r>
        <w:rPr>
          <w:b/>
          <w:color w:val="2F5597"/>
        </w:rPr>
        <w:t xml:space="preserve">2. </w:t>
      </w:r>
      <w:r>
        <w:rPr>
          <w:b/>
        </w:rPr>
        <w:t>Пакет фиксируется до начала годовой работы.</w:t>
      </w:r>
      <w:r>
        <w:t xml:space="preserve"> СД поимённо утверждает участника, размер пакета, цену единицы и целевое число единиц. Пакет считается от полной годовой стоимости вознаграждения с учётом всех обязательных налогов и взносов.</w:t>
      </w:r>
    </w:p>
    <w:p>
      <w:pPr>
        <w:ind w:left="397" w:hanging="397"/>
        <w:widowControl/>
      </w:pPr>
      <w:r>
        <w:rPr>
          <w:b/>
          <w:color w:val="2F5597"/>
        </w:rPr>
        <w:t xml:space="preserve">3. </w:t>
      </w:r>
      <w:r>
        <w:rPr>
          <w:b/>
        </w:rPr>
        <w:t>После года число заработанных единиц определяется автоматически.</w:t>
      </w:r>
      <w:r>
        <w:t xml:space="preserve"> Результат на 60% зависит от КПЭ компании и на 40% — от личного КПЭ. Повторного решения СД по текущему пакету и пересчёта по новой оценке нет; заработанное число не может превысить целевое.</w:t>
      </w:r>
    </w:p>
    <w:p>
      <w:pPr>
        <w:ind w:left="397" w:hanging="397"/>
        <w:widowControl/>
      </w:pPr>
      <w:r>
        <w:rPr>
          <w:b/>
          <w:color w:val="2F5597"/>
        </w:rPr>
        <w:t xml:space="preserve">4. </w:t>
      </w:r>
      <w:r>
        <w:rPr>
          <w:b/>
        </w:rPr>
        <w:t>Следующий пакет не возникает автоматически.</w:t>
      </w:r>
      <w:r>
        <w:t xml:space="preserve"> В начале каждого нового года СД заново утверждает участника и размер пакета. Прошлогоднее участие не гарантирует новый пакет или прежний размер.</w:t>
      </w:r>
    </w:p>
    <w:p>
      <w:pPr>
        <w:ind w:left="397" w:hanging="397"/>
        <w:widowControl/>
      </w:pPr>
      <w:r>
        <w:rPr>
          <w:b/>
          <w:color w:val="2F5597"/>
        </w:rPr>
        <w:t xml:space="preserve">5. </w:t>
      </w:r>
      <w:r>
        <w:rPr>
          <w:b/>
        </w:rPr>
        <w:t>Размер пакета выражается в годовых вознаграждениях.</w:t>
      </w:r>
      <w:r>
        <w:t xml:space="preserve"> Допустимые множители — 0,25 / 0,50 / 0,75 / 1,00 от полной годовой стоимости с налогами и взносами. Для старших ролей минимум 0,50, для младших — 0,25.</w:t>
      </w:r>
    </w:p>
    <w:p>
      <w:pPr>
        <w:ind w:left="397" w:hanging="397"/>
        <w:widowControl/>
      </w:pPr>
      <w:r>
        <w:rPr>
          <w:b/>
          <w:color w:val="2F5597"/>
        </w:rPr>
        <w:t xml:space="preserve">6. </w:t>
      </w:r>
      <w:r>
        <w:rPr>
          <w:b/>
        </w:rPr>
        <w:t>Каждый заработанный пакет закрепляется отдельно за 36 месяцев.</w:t>
      </w:r>
      <w:r>
        <w:t xml:space="preserve"> В конце каждого полного квартала закрепляется 1/12 пакета. Пакеты разных лет накладываются друг на друга, поэтому для их полного закрепления нужно оставаться в компании.</w:t>
      </w:r>
    </w:p>
    <w:p>
      <w:pPr>
        <w:ind w:left="397" w:hanging="397"/>
        <w:widowControl/>
      </w:pPr>
      <w:r>
        <w:rPr>
          <w:b/>
          <w:color w:val="2F5597"/>
        </w:rPr>
        <w:t xml:space="preserve">7. </w:t>
      </w:r>
      <w:r>
        <w:rPr>
          <w:b/>
        </w:rPr>
        <w:t>Плановые выдачи составляют 9%, резерв СД — 1%.</w:t>
      </w:r>
      <w:r>
        <w:t xml:space="preserve"> Годовые пределы плановых пакетов — 4 / 2 / 1 / 1 / 1 млн исходных единиц в Г1–Г5. Ещё 1 млн единиц выдаётся только отдельным решением СД на будущие критичные назначения.</w:t>
      </w:r>
    </w:p>
    <w:p>
      <w:pPr>
        <w:ind w:left="397" w:hanging="397"/>
        <w:widowControl/>
      </w:pPr>
      <w:r>
        <w:rPr>
          <w:b/>
          <w:color w:val="2F5597"/>
        </w:rPr>
        <w:t xml:space="preserve">8. </w:t>
      </w:r>
      <w:r>
        <w:rPr>
          <w:b/>
        </w:rPr>
        <w:t>Общий предел равен 10% всех акций на исходной базе.</w:t>
      </w:r>
      <w:r>
        <w:t xml:space="preserve"> Это 10 млн единиц при исходной полностью разводнённой базе 100 млн. Новые инвестиционные раунды размывают прежних владельцев и единицы программы одинаково; лимит после раундов не восстанавливается.</w:t>
      </w:r>
    </w:p>
    <w:p>
      <w:pPr>
        <w:pStyle w:val="Heading1"/>
      </w:pPr>
      <w:r>
        <w:rPr>
          <w:i w:val="0"/>
        </w:rPr>
        <w:t>Как работает один год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247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Момент</w:t>
            </w:r>
          </w:p>
        </w:tc>
        <w:tc>
          <w:tcPr>
            <w:tcW w:type="dxa" w:w="294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Механика</w:t>
            </w:r>
          </w:p>
        </w:tc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Что видит сотрудник</w:t>
            </w:r>
          </w:p>
        </w:tc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Роль СД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Начало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СД утверждает участника, полный размер пакета, цену и целевое число единиц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Заранее знает, за какой пакет и число единиц работает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Проверяет годовой предел и свободный остаток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В течение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Целевое число единиц не меняется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Выполняет два КПЭ: 60% — компания, 40% — личный результат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Ручного изменения цены или пакета нет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После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Формула автоматически определяет заработанное число единиц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Получает результат завершённого цикла без пересчёта по новой оценке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Незаработанная часть автоматически возвращается в свободный остаток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Следующие 36 месяцев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Права закрепляются по 1/12 за полный квартал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Сохраняет уже закреплённую часть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Применяет заранее утверждённые правила при уходе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Начало следующего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СД принимает новое поимённое решение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Нет автоматического права на новый пакет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Может увеличить, уменьшить или не выдать новый пакет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i w:val="0"/>
        </w:rPr>
        <w:t>Формулы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D9EAF7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b/>
              </w:rPr>
              <w:t>1. Полная годовая стоимость вознаграждения</w:t>
            </w:r>
            <w:r>
              <w:br/>
              <w:t>Годовая сумма по окладу с учётом всех применимых налогов и взносов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D9EAF7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b/>
              </w:rPr>
              <w:t>2. Целевое число единиц в начале года</w:t>
            </w:r>
            <w:r>
              <w:br/>
              <w:t>Полная годовая стоимость × множитель пакета ÷ цена единицы на начало года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D9EAF7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b/>
              </w:rPr>
              <w:t>3. Заработанное число единиц после года</w:t>
            </w:r>
            <w:r>
              <w:br/>
              <w:t>Целевое число единиц × меньшая из двух величин: 100% или (60% × результат компании + 40% × личный результат)</w:t>
            </w:r>
          </w:p>
        </w:tc>
      </w:tr>
    </w:tbl>
    <w:p>
      <w:pPr>
        <w:spacing w:after="0"/>
      </w:pPr>
    </w:p>
    <w:p>
      <w:pPr>
        <w:widowControl/>
      </w:pPr>
      <w:r>
        <w:rPr>
          <w:i/>
          <w:color w:val="7F7F7F"/>
        </w:rPr>
        <w:t>Пример: при целевом пакете 100 000 единиц, результате компании 80% и личном результате 90% итог равен 84%. Автоматически зарабатывается 84 000 единиц. Цена и исходный пакет не пересчитываются.</w:t>
      </w:r>
    </w:p>
    <w:p>
      <w:pPr>
        <w:pStyle w:val="Heading1"/>
      </w:pPr>
      <w:r>
        <w:rPr>
          <w:i w:val="0"/>
        </w:rPr>
        <w:t>10% всех акций на исходной базе: 9% планово + 1% резерв СД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Цикл</w:t>
            </w:r>
          </w:p>
        </w:tc>
        <w:tc>
          <w:tcPr>
            <w:tcW w:type="dxa" w:w="187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Плановый предел</w:t>
            </w:r>
          </w:p>
        </w:tc>
        <w:tc>
          <w:tcPr>
            <w:tcW w:type="dxa" w:w="232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Накопленный предел</w:t>
            </w:r>
          </w:p>
        </w:tc>
        <w:tc>
          <w:tcPr>
            <w:tcW w:type="dxa" w:w="368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Г1 / 2027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4 000 000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4 000 000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Г2 / 2028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2 000 000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6 000 000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Г3 / 2029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7 000 000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Г4 / 2030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8 000 000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Г5 / 2031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9 000 000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Резерв СД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Общий предел 10 000 000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Будущие критичные назначения</w:t>
            </w:r>
          </w:p>
        </w:tc>
      </w:tr>
    </w:tbl>
    <w:p>
      <w:pPr>
        <w:spacing w:after="0"/>
      </w:pP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10 млн единиц экономически соответствуют 10% всех акций на исходной полностью разводнённой базе 100 млн на 01.01.2027.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Инвестиционные раунды размывают всех прежних владельцев и единицы программы одинаково. Годовые пределы заданы в исходных единицах и после раундов не восстанавливаются.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Не более 20 человек могут одновременно участвовать в программе. Число участников не меняет общий предел: его определяет число единиц.</w:t>
      </w:r>
    </w:p>
    <w:p>
      <w:pPr>
        <w:pStyle w:val="Heading1"/>
      </w:pPr>
      <w:r>
        <w:rPr>
          <w:i w:val="0"/>
        </w:rPr>
        <w:t>Оценка, инвестиции и стоимость единицы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464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493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Начало программы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 января 2027 года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Индикативная стоимость капитала на старте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1,6 млрд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Исходная полностью разводнённая база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100 млн единиц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Индикативная цена единицы Г1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16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Деньги в компанию за инвестиционные раунды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4 млрд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Сценарная стоимость капитала — базовый вариант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16 млрд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Сценарная стоимость капитала — осторожный вариант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8 млрд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Участники расчётной модели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Не более 20; никто не уходит; результат 100%</w:t>
            </w:r>
          </w:p>
        </w:tc>
      </w:tr>
    </w:tbl>
    <w:p>
      <w:pPr>
        <w:spacing w:after="0"/>
      </w:pPr>
    </w:p>
    <w:p>
      <w:pPr>
        <w:widowControl/>
      </w:pPr>
      <w:r>
        <w:rPr>
          <w:i w:val="0"/>
        </w:rPr>
        <w:t>На 01.01.2027 в расчётной модели используется индикативная стоимость капитала 1,6 млрд ₽ и цена 16 ₽ за единицу. Для каждого следующего цикла цена фиксируется в начале года исходя из утверждённой оценки и полностью разводнённой базы на эту дату. В течение года цена и целевое число единиц не пересчитываются. Новые единицы инвесторов размывают все существующие единицы одинаково.</w:t>
      </w:r>
    </w:p>
    <w:p>
      <w:pPr>
        <w:spacing w:after="0"/>
      </w:pPr>
    </w:p>
    <w:p>
      <w:pPr>
        <w:pStyle w:val="Heading1"/>
      </w:pPr>
      <w:r>
        <w:rPr>
          <w:i w:val="0"/>
        </w:rPr>
        <w:t>Денежный масштаб программы в двух сценариях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419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Метрика</w:t>
            </w:r>
          </w:p>
        </w:tc>
        <w:tc>
          <w:tcPr>
            <w:tcW w:type="dxa" w:w="272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Базовый вариант</w:t>
            </w:r>
          </w:p>
        </w:tc>
        <w:tc>
          <w:tcPr>
            <w:tcW w:type="dxa" w:w="272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Осторожный вариант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Сценарная стоимость капитала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16 млрд 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8 млрд ₽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Выдано плановых единиц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8,9769 млн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8,9709 млн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Использовано из доступных 9%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99,74%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99,68%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Получатели по циклам Г1–Г5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20 / 20 / 9 / 20 / 20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20 / 16 / 5 / 7 / 7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Получили хотя бы один пакет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20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20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Полная стоимость участника:</w:t>
              <w:br/>
              <w:t>медиана / минимум / максимум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33,9 / 19,0 / 131,4 млн 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10,7 / 4,4 / 73,6 млн ₽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Полная стоимость всех пакетов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1 031,6 млн 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407,4 млн ₽</w:t>
            </w:r>
          </w:p>
        </w:tc>
      </w:tr>
    </w:tbl>
    <w:p>
      <w:pPr>
        <w:spacing w:after="0"/>
      </w:pPr>
    </w:p>
    <w:p>
      <w:pPr>
        <w:widowControl/>
      </w:pPr>
      <w:r>
        <w:rPr>
          <w:i/>
          <w:color w:val="7F7F7F"/>
        </w:rPr>
        <w:t>По расчётной модели полная стоимость всех плановых пакетов составляет около 1,0 млрд ₽ в базовом и 407,4 млн ₽ в осторожном сценарии. Полная стоимость предполагает, что все заработанные единицы полностью закрепились. Закрепившаяся стоимость — только часть, срок которой уже прошёл. Выплата возникает лишь при отдельном событии выплаты и не привязана к окончанию Г5.</w:t>
      </w:r>
    </w:p>
    <w:p>
      <w:pPr>
        <w:pStyle w:val="Heading1"/>
      </w:pPr>
      <w:r>
        <w:rPr>
          <w:i w:val="0"/>
        </w:rPr>
        <w:t>Закрепление прав, выплаты и особые ситуации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Каждый заработанный годовой пакет живёт отдельно и закрепляется по 1/12 за каждый полный квартал в течение 36 месяцев. Пакет Г5 продолжает закрепляться после окончания пятилетнего периода выдач.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До передачи реальных акций расчётные единицы являются договорным правом: они не дают права голоса, не являются акцией или долей в ООО и не означают автоматическую передачу ценных бумаг.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Полная стоимость, закрепившаяся стоимость и фактическая выплата — разные величины. При дивидендах, продаже компании или другом утверждённом событии в расчёте участвует закрепившаяся часть, если правила программы прямо не предусматривают иное.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При добросовестном уходе закрепившаяся часть сохраняется, а незакрепившаяся возвращается в свободный остаток программы.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Последствия серьёзного нарушения должны быть заранее и узко определены утверждёнными документами программы, а не решаться задним числом.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Критичный найм в середине года возможен только по отдельному решению СД из его резерва 1 млн единиц.</w:t>
      </w:r>
    </w:p>
    <w:p>
      <w:pPr>
        <w:pStyle w:val="Heading1"/>
      </w:pPr>
      <w:r>
        <w:rPr>
          <w:i w:val="0"/>
        </w:rPr>
        <w:t>Основные риски расчётной стоимости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16 млрд ₽ и 8 млрд ₽ — сценарные, а не гарантированные оценки. Фактическая стоимость компании и пакетов может быть ниже.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Инвестиционные раунды увеличивают число единиц и уменьшают долю каждой ранее существовавшей единицы.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Продажа компании, дивиденды или другое событие выплаты не гарантированы и не привязаны к пятому году программы.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Долг, расходы сделки, налоги и особые права инвесторов могут уменьшить сумму, приходящуюся на обыкновенные акции.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Расчётная полная стоимость не равна закрепившейся части и не равна сумме к выплате после налогов.</w:t>
      </w:r>
    </w:p>
    <w:p>
      <w:pPr>
        <w:pStyle w:val="Heading1"/>
      </w:pPr>
      <w:r>
        <w:rPr>
          <w:i w:val="0"/>
        </w:rPr>
        <w:t>Статус документа</w:t>
      </w:r>
    </w:p>
    <w:p>
      <w:pPr>
        <w:widowControl/>
      </w:pPr>
      <w:r>
        <w:rPr>
          <w:i/>
          <w:color w:val="7F7F7F"/>
        </w:rPr>
        <w:t>Это информационное описание. Фактические права и обязанности определяются утверждёнными документами программы; при расхождении применяются они.</w:t>
      </w:r>
    </w:p>
    <w:sectPr>
      <w:headerReference w:type="default" r:id="rId7"/>
      <w:footerReference w:type="default" r:id="rId8"/>
      <w:pgSz w:h="16838" w:w="11906" w:orient="portrait"/>
      <w:pgMar w:bottom="850" w:top="907" w:left="1020" w:right="1020" w:header="397" w:footer="39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7F7F7F"/>
        <w:sz w:val="18"/>
      </w:rPr>
      <w:t xml:space="preserve">Информационное описание • июль 2026    </w:t>
    </w:r>
    <w:r>
      <w:rPr>
        <w:rFonts w:ascii="Arial" w:hAnsi="Arial"/>
        <w:color w:val="7F7F7F"/>
        <w:sz w:val="18"/>
      </w:rPr>
      <w:fldChar w:fldCharType="begin"/>
    </w:r>
    <w:r>
      <w:rPr>
        <w:rFonts w:ascii="Arial" w:hAnsi="Arial"/>
        <w:color w:val="7F7F7F"/>
        <w:sz w:val="18"/>
      </w:rPr>
      <w:instrText xml:space="preserve"> PAGE </w:instrText>
    </w:r>
    <w:r>
      <w:rPr>
        <w:rFonts w:ascii="Arial" w:hAnsi="Arial"/>
        <w:color w:val="7F7F7F"/>
        <w:sz w:val="18"/>
      </w:rPr>
      <w:fldChar w:fldCharType="separate"/>
    </w:r>
    <w:r>
      <w:rPr>
        <w:rFonts w:ascii="Arial" w:hAnsi="Arial"/>
        <w:i/>
        <w:color w:val="7F7F7F"/>
        <w:sz w:val="18"/>
      </w:rPr>
      <w:t>1</w:t>
    </w:r>
    <w:r>
      <w:rPr>
        <w:rFonts w:ascii="Arial" w:hAnsi="Arial"/>
        <w:color w:val="7F7F7F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2F5597"/>
        <w:sz w:val="16"/>
      </w:rPr>
      <w:t>AIVEL • ДОЛГОСРОЧНАЯ ПРОГРАММА УЧАСТИЯ КОМАНДЫ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ru"/>
      </w:rPr>
    </w:rPrDefault>
    <w:pPrDefault>
      <w:pPr>
        <w:spacing w:after="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ing1">
    <w:name w:val="heading 1"/>
    <w:basedOn w:val="Normal"/>
    <w:next w:val="Normal"/>
    <w:pPr>
      <w:keepNext/>
      <w:keepLines w:val="1"/>
      <w:spacing w:before="240" w:lineRule="auto" w:after="100"/>
    </w:pPr>
    <w:rPr>
      <w:rFonts w:ascii="Arial" w:cs="Calibri" w:eastAsia="Calibri" w:hAnsi="Arial"/>
      <w:b/>
      <w:bCs w:val="1"/>
      <w:color w:val="17365D"/>
      <w:sz w:val="32"/>
      <w:szCs w:val="28"/>
    </w:rPr>
  </w:style>
  <w:style w:type="paragraph" w:styleId="Heading2">
    <w:name w:val="heading 2"/>
    <w:basedOn w:val="Normal"/>
    <w:next w:val="Normal"/>
    <w:pPr>
      <w:keepNext/>
      <w:keepLines w:val="1"/>
      <w:spacing w:before="240" w:lineRule="auto" w:after="100"/>
    </w:pPr>
    <w:rPr>
      <w:rFonts w:ascii="Arial" w:cs="Calibri" w:eastAsia="Calibri" w:hAnsi="Arial"/>
      <w:b/>
      <w:bCs w:val="1"/>
      <w:color w:val="2F5597"/>
      <w:sz w:val="25"/>
      <w:szCs w:val="26"/>
    </w:rPr>
  </w:style>
  <w:style w:type="paragraph" w:styleId="Heading3">
    <w:name w:val="heading 3"/>
    <w:basedOn w:val="Normal"/>
    <w:next w:val="Normal"/>
    <w:pPr>
      <w:keepNext/>
      <w:keepLines w:val="1"/>
      <w:spacing w:before="240" w:lineRule="auto" w:after="100"/>
    </w:pPr>
    <w:rPr>
      <w:rFonts w:ascii="Arial" w:cs="Calibri" w:eastAsia="Calibri" w:hAnsi="Arial"/>
      <w:b/>
      <w:bCs w:val="1"/>
      <w:color w:val="17365D"/>
      <w:sz w:val="22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i w:val="1"/>
      <w:iCs w:val="1"/>
    </w:rPr>
  </w:style>
  <w:style w:type="paragraph" w:styleId="Title">
    <w:name w:val="Title"/>
    <w:basedOn w:val="Normal"/>
    <w:next w:val="Normal"/>
    <w:pPr>
      <w:keepNext/>
      <w:spacing w:after="100" w:lineRule="auto" w:before="0"/>
    </w:pPr>
    <w:rPr>
      <w:rFonts w:ascii="Arial" w:cs="Calibri" w:eastAsia="Calibri" w:hAnsi="Arial"/>
      <w:b/>
      <w:color w:val="17365D"/>
      <w:sz w:val="48"/>
      <w:szCs w:val="52"/>
    </w:rPr>
  </w:style>
  <w:style w:type="paragraph" w:styleId="Subtitle">
    <w:name w:val="Subtitle"/>
    <w:basedOn w:val="Normal"/>
    <w:next w:val="Normal"/>
    <w:pPr>
      <w:keepNext/>
      <w:spacing w:before="240" w:after="100"/>
    </w:pPr>
    <w:rPr>
      <w:rFonts w:ascii="Arial" w:cs="Calibri" w:eastAsia="Calibri" w:hAnsi="Arial"/>
      <w:b w:val="0"/>
      <w:color w:val="7F7F7F"/>
      <w:sz w:val="2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