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КОМАНДЫ</w:t>
      </w:r>
    </w:p>
    <w:p>
      <w:pPr>
        <w:pStyle w:val="Heading1"/>
        <w:keepNext/>
      </w:pPr>
      <w:r>
        <w:t>Мы растим стоимость — и разделяем результат</w:t>
      </w:r>
    </w:p>
    <w:p>
      <w:pPr>
        <w:spacing w:after="280"/>
      </w:pPr>
      <w:r>
        <w:rPr>
          <w:color w:val="5E6874"/>
          <w:sz w:val="28"/>
        </w:rPr>
        <w:t>На пять лет для команды согласовано 10% акций компании.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0A66D6"/>
            <w:tcMar>
              <w:top w:w="220" w:type="dxa"/>
              <w:left w:w="220" w:type="dxa"/>
              <w:bottom w:w="220" w:type="dxa"/>
              <w:right w:w="220" w:type="dxa"/>
            </w:tcMar>
          </w:tcPr>
          <w:p>
            <w:pPr>
              <w:spacing w:after="1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ОСТОРОЖНЫЙ СЦЕНАРИЙ</w:t>
            </w:r>
          </w:p>
          <w:p>
            <w:pPr>
              <w:spacing w:after="100"/>
            </w:pPr>
            <w:r>
              <w:rPr>
                <w:rFonts w:ascii="Arial" w:hAnsi="Arial"/>
                <w:b/>
                <w:color w:val="FFFFFF"/>
                <w:sz w:val="48"/>
              </w:rPr>
              <w:t>≈ 400 млн ₽</w:t>
            </w:r>
          </w:p>
          <w:p>
            <w:pPr>
              <w:spacing w:after="0"/>
            </w:pPr>
            <w:r>
              <w:rPr>
                <w:rFonts w:ascii="Arial" w:hAnsi="Arial"/>
                <w:color w:val="FFFFFF"/>
                <w:sz w:val="20"/>
              </w:rPr>
              <w:t>если компания стоит 8 млрд ₽</w:t>
            </w:r>
          </w:p>
        </w:tc>
        <w:tc>
          <w:tcPr>
            <w:tcW w:type="dxa" w:w="5100"/>
            <w:shd w:fill="0F1722"/>
            <w:tcMar>
              <w:top w:w="220" w:type="dxa"/>
              <w:left w:w="220" w:type="dxa"/>
              <w:bottom w:w="220" w:type="dxa"/>
              <w:right w:w="220" w:type="dxa"/>
            </w:tcMar>
          </w:tcPr>
          <w:p>
            <w:pPr>
              <w:spacing w:after="14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БАЗОВЫЙ СЦЕНАРИЙ</w:t>
            </w:r>
          </w:p>
          <w:p>
            <w:pPr>
              <w:spacing w:after="100"/>
            </w:pPr>
            <w:r>
              <w:rPr>
                <w:rFonts w:ascii="Arial" w:hAnsi="Arial"/>
                <w:b/>
                <w:color w:val="FFFFFF"/>
                <w:sz w:val="48"/>
              </w:rPr>
              <w:t>≈ 1 млрд ₽</w:t>
            </w:r>
          </w:p>
          <w:p>
            <w:pPr>
              <w:spacing w:after="0"/>
            </w:pPr>
            <w:r>
              <w:rPr>
                <w:rFonts w:ascii="Arial" w:hAnsi="Arial"/>
                <w:color w:val="FFFFFF"/>
                <w:sz w:val="20"/>
              </w:rPr>
              <w:t>если компания стоит 16 млрд ₽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</w:trPr>
        <w:tc>
          <w:tcPr>
            <w:tcW w:type="dxa" w:w="10200"/>
            <w:shd w:fill="EEF3FA"/>
            <w:tcMar>
              <w:top w:w="180" w:type="dxa"/>
              <w:left w:w="200" w:type="dxa"/>
              <w:bottom w:w="180" w:type="dxa"/>
              <w:right w:w="20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0F1722"/>
                <w:sz w:val="26"/>
              </w:rPr>
              <w:t>Рост компании может стать значимым личным финансовым результатом</w:t>
            </w:r>
          </w:p>
          <w:p>
            <w:pPr>
              <w:spacing w:after="0"/>
            </w:pPr>
            <w:r>
              <w:rPr>
                <w:rFonts w:ascii="Arial" w:hAnsi="Arial"/>
                <w:color w:val="5E6874"/>
                <w:sz w:val="21"/>
              </w:rPr>
              <w:t>Программа действует сверх обычной денежной премии. Итог зависит от ежегодного отбора, результатов, закрепления права и стоимости компании.</w:t>
            </w:r>
          </w:p>
        </w:tc>
      </w:tr>
    </w:tbl>
    <w:p>
      <w:pPr>
        <w:pStyle w:val="Heading2"/>
        <w:keepNext/>
      </w:pPr>
      <w:r>
        <w:t>Как пройти один год</w:t>
      </w:r>
    </w:p>
    <w:p>
      <w:pPr>
        <w:pStyle w:val="ListBullet"/>
        <w:spacing w:after="80"/>
      </w:pPr>
      <w:r>
        <w:rPr>
          <w:b/>
        </w:rPr>
        <w:t xml:space="preserve">1 · Попасть. </w:t>
      </w:r>
      <w:r>
        <w:t>СД выбирает участника и до начала года утверждает целевой пакет.</w:t>
      </w:r>
    </w:p>
    <w:p>
      <w:pPr>
        <w:pStyle w:val="ListBullet"/>
        <w:spacing w:after="80"/>
      </w:pPr>
      <w:r>
        <w:rPr>
          <w:b/>
        </w:rPr>
        <w:t xml:space="preserve">2 · Заработать. </w:t>
      </w:r>
      <w:r>
        <w:t>После года формула 60% результат компании + 40% личный результат определяет заработанные единицы.</w:t>
      </w:r>
    </w:p>
    <w:p>
      <w:pPr>
        <w:pStyle w:val="ListBullet"/>
        <w:spacing w:after="80"/>
      </w:pPr>
      <w:r>
        <w:rPr>
          <w:b/>
        </w:rPr>
        <w:t xml:space="preserve">3 · Закрепить. </w:t>
      </w:r>
      <w:r>
        <w:t>Заработанный пакет закрепляется по 1/12 за полный квартал в течение 36 месяцев.</w:t>
      </w:r>
    </w:p>
    <w:p>
      <w:pPr>
        <w:pStyle w:val="ListBullet"/>
        <w:spacing w:after="80"/>
      </w:pPr>
      <w:r>
        <w:rPr>
          <w:b/>
        </w:rPr>
        <w:t xml:space="preserve">4 · Повторить. </w:t>
      </w:r>
      <w:r>
        <w:t>Для нового пакета следующего года нужно снова пройти отбор; автоматического продления нет.</w:t>
      </w:r>
    </w:p>
    <w:p>
      <w:r>
        <w:br w:type="page"/>
      </w:r>
    </w:p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КОМАНДЫ · МЕХАНИКА</w:t>
      </w:r>
    </w:p>
    <w:p>
      <w:pPr>
        <w:pStyle w:val="Heading1"/>
        <w:keepNext/>
      </w:pPr>
      <w:r>
        <w:t>Один сквозной пример: от 450 тыс. ₽ до заработанных единиц</w:t>
      </w:r>
    </w:p>
    <w:p>
      <w:pPr>
        <w:spacing w:after="280"/>
      </w:pPr>
      <w:r>
        <w:rPr>
          <w:color w:val="5E6874"/>
          <w:sz w:val="28"/>
        </w:rPr>
        <w:t>Все суммы ниже — иллюстрация правил, а не индивидуальное обещание.</w:t>
      </w:r>
    </w:p>
    <w:p>
      <w:pPr>
        <w:pStyle w:val="Heading2"/>
        <w:keepNext/>
      </w:pPr>
      <w:r>
        <w:t>1. Отбор и целевой пакет</w:t>
      </w:r>
    </w:p>
    <w:p>
      <w:pPr>
        <w:spacing w:after="140" w:line="269" w:lineRule="auto"/>
      </w:pPr>
      <w:r>
        <w:t>Участник должен существенно влиять на выручку, давать измеримое улучшение за счёт искусственного интеллекта или контролировать существенные финансовые, юридические либо операционные риски.</w:t>
      </w:r>
    </w:p>
    <w:p>
      <w:pPr>
        <w:spacing w:after="140" w:line="269" w:lineRule="auto"/>
      </w:pPr>
      <w:r>
        <w:t>Допустимые размеры годового пакета: 0,25 / 0,5 / 0,75 / 1,0 годовой стоимости сотрудника с учётом всех налогов и взносов.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tblHeader w:val="true"/>
        </w:trPr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Шаг</w:t>
            </w:r>
          </w:p>
        </w:tc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Расчёт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Месячная зарплата до налогов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450 тыс. ₽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Полная годовая стоимость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6,21 млн ₽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Пакет 0,5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3,105 млн ₽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Целевые единицы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3,105 млн ₽ / 16 ₽ ≈ 194 тыс.</w:t>
            </w:r>
          </w:p>
        </w:tc>
      </w:tr>
    </w:tbl>
    <w:p>
      <w:pPr>
        <w:pStyle w:val="Heading2"/>
        <w:keepNext/>
      </w:pPr>
      <w:r>
        <w:t>2. Результат 60 / 40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</w:trPr>
        <w:tc>
          <w:tcPr>
            <w:tcW w:type="dxa" w:w="10200"/>
            <w:shd w:fill="0F1722"/>
            <w:tcMar>
              <w:top w:w="180" w:type="dxa"/>
              <w:left w:w="200" w:type="dxa"/>
              <w:bottom w:w="180" w:type="dxa"/>
              <w:right w:w="20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FFFFFF"/>
                <w:sz w:val="26"/>
              </w:rPr>
              <w:t>60% × 80% + 40% × 100% = 88%</w:t>
            </w:r>
          </w:p>
          <w:p>
            <w:pPr>
              <w:spacing w:after="0"/>
            </w:pPr>
            <w:r>
              <w:rPr>
                <w:rFonts w:ascii="Arial" w:hAnsi="Arial"/>
                <w:color w:val="FFFFFF"/>
                <w:sz w:val="21"/>
              </w:rPr>
              <w:t>194 тыс. целевых единиц × 88% = примерно 171 тыс. заработанных единиц. СД утвердил пакет и показатели до начала года; после этого формула работает автоматически.</w:t>
            </w:r>
          </w:p>
        </w:tc>
      </w:tr>
    </w:tbl>
    <w:p>
      <w:pPr>
        <w:pStyle w:val="Heading2"/>
        <w:keepNext/>
      </w:pPr>
      <w:r>
        <w:t>3. Закрепление за 36 месяцев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0 мес.</w:t>
            </w:r>
          </w:p>
        </w:tc>
        <w:tc>
          <w:tcPr>
            <w:tcW w:type="dxa" w:w="255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12 мес.</w:t>
            </w:r>
          </w:p>
        </w:tc>
        <w:tc>
          <w:tcPr>
            <w:tcW w:type="dxa" w:w="255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24 мес.</w:t>
            </w:r>
          </w:p>
        </w:tc>
        <w:tc>
          <w:tcPr>
            <w:tcW w:type="dxa" w:w="255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36 мес.</w:t>
            </w:r>
          </w:p>
        </w:tc>
      </w:tr>
      <w:tr>
        <w:tc>
          <w:tcPr>
            <w:tcW w:type="dxa" w:w="255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A66D6"/>
                <w:sz w:val="21"/>
              </w:rPr>
              <w:t>0</w:t>
            </w:r>
          </w:p>
        </w:tc>
        <w:tc>
          <w:tcPr>
            <w:tcW w:type="dxa" w:w="255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A66D6"/>
                <w:sz w:val="21"/>
              </w:rPr>
              <w:t>≈ 57 тыс.</w:t>
            </w:r>
          </w:p>
        </w:tc>
        <w:tc>
          <w:tcPr>
            <w:tcW w:type="dxa" w:w="255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A66D6"/>
                <w:sz w:val="21"/>
              </w:rPr>
              <w:t>≈ 114 тыс.</w:t>
            </w:r>
          </w:p>
        </w:tc>
        <w:tc>
          <w:tcPr>
            <w:tcW w:type="dxa" w:w="255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A66D6"/>
                <w:sz w:val="21"/>
              </w:rPr>
              <w:t>≈ 171 тыс.</w:t>
            </w:r>
          </w:p>
        </w:tc>
      </w:tr>
    </w:tbl>
    <w:p>
      <w:pPr>
        <w:spacing w:after="140" w:line="269" w:lineRule="auto"/>
      </w:pPr>
      <w:r>
        <w:t>Каждый ежегодный пакет живёт отдельно. Новый пакет может начаться, пока предыдущие продолжают закрепляться по своим трёхлетним графикам.</w:t>
      </w:r>
    </w:p>
    <w:p>
      <w:r>
        <w:br w:type="page"/>
      </w:r>
    </w:p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КОМАНДЫ · ДОЛГИЙ РЕЗУЛЬТАТ</w:t>
      </w:r>
    </w:p>
    <w:p>
      <w:pPr>
        <w:pStyle w:val="Heading1"/>
        <w:keepNext/>
      </w:pPr>
      <w:r>
        <w:t>Большой результат складывается из пяти отдельных ежегодных решений</w:t>
      </w:r>
    </w:p>
    <w:p>
      <w:pPr>
        <w:spacing w:after="280"/>
      </w:pPr>
      <w:r>
        <w:rPr>
          <w:color w:val="5E6874"/>
          <w:sz w:val="28"/>
        </w:rPr>
        <w:t>Это не одно безусловное обещание на пять лет.</w:t>
      </w:r>
    </w:p>
    <w:p>
      <w:pPr>
        <w:pStyle w:val="Heading2"/>
        <w:keepNext/>
      </w:pPr>
      <w:r>
        <w:t>Что могут дать пять пакетов</w:t>
      </w:r>
    </w:p>
    <w:p>
      <w:pPr>
        <w:spacing w:after="140" w:line="269" w:lineRule="auto"/>
      </w:pPr>
      <w:r>
        <w:t>При зарплате 450 тыс. ₽, первом пакете 0,5, результате первого года 88%, последующем пути пакетов 0,75 / 0,75 / 0,75 / 1,0 и выполнении показателей следующих лет на 100% полная расчётная стоимость в базовом сценарии составляет около 44 млн ₽ после полного закрепления.</w:t>
      </w:r>
    </w:p>
    <w:p>
      <w:pPr>
        <w:spacing w:after="140" w:line="269" w:lineRule="auto"/>
      </w:pPr>
      <w:r>
        <w:t>К концу пятого года ранние пакеты закреплены сильнее поздних; оставшаяся часть продолжает закрепляться, пока участник работает в компании.</w:t>
      </w:r>
    </w:p>
    <w:p>
      <w:pPr>
        <w:pStyle w:val="Heading2"/>
        <w:keepNext/>
      </w:pPr>
      <w:r>
        <w:t>Два пути к деньгам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Продажа компании</w:t>
            </w:r>
          </w:p>
        </w:tc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Дивиденды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0"/>
              </w:rPr>
              <w:t>Разовая выплата на закрепившиеся к сделке единицы. Незакреплённая часть не выплачивается автоматически.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0"/>
              </w:rPr>
              <w:t>Возможный ежегодный поток по мере закрепления пакетов. Требует отдельного решения владельцев и не гарантирован.</w:t>
            </w:r>
          </w:p>
        </w:tc>
      </w:tr>
    </w:tbl>
    <w:p>
      <w:pPr>
        <w:pStyle w:val="Heading2"/>
        <w:keepNext/>
      </w:pPr>
      <w:r>
        <w:t>Три группы рисков</w:t>
      </w:r>
    </w:p>
    <w:p>
      <w:pPr>
        <w:pStyle w:val="ListBullet"/>
        <w:spacing w:after="80"/>
      </w:pPr>
      <w:r>
        <w:rPr>
          <w:b/>
        </w:rPr>
        <w:t xml:space="preserve">Зависит от участника. </w:t>
      </w:r>
      <w:r>
        <w:t>ежегодный отбор, личный результат, вклад в общую цель и работа в компании в течение срока закрепления.</w:t>
      </w:r>
    </w:p>
    <w:p>
      <w:pPr>
        <w:pStyle w:val="ListBullet"/>
        <w:spacing w:after="80"/>
      </w:pPr>
      <w:r>
        <w:rPr>
          <w:b/>
        </w:rPr>
        <w:t xml:space="preserve">Зависит от команды. </w:t>
      </w:r>
      <w:r>
        <w:t>рост стоимости компании определяет ёмкость программы, число новых пакетов и их стоимость.</w:t>
      </w:r>
    </w:p>
    <w:p>
      <w:pPr>
        <w:pStyle w:val="ListBullet"/>
        <w:spacing w:after="80"/>
      </w:pPr>
      <w:r>
        <w:rPr>
          <w:b/>
        </w:rPr>
        <w:t xml:space="preserve">Не гарантировано. </w:t>
      </w:r>
      <w:r>
        <w:t>событие выплаты, его дата и фактическая сумма после личных налогов и условий конкретной сделки.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</w:trPr>
        <w:tc>
          <w:tcPr>
            <w:tcW w:type="dxa" w:w="10200"/>
            <w:shd w:fill="EEF3FA"/>
            <w:tcMar>
              <w:top w:w="180" w:type="dxa"/>
              <w:left w:w="200" w:type="dxa"/>
              <w:bottom w:w="180" w:type="dxa"/>
              <w:right w:w="20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0F1722"/>
                <w:sz w:val="26"/>
              </w:rPr>
              <w:t>Два ориентира медианного полного результата</w:t>
            </w:r>
          </w:p>
          <w:p>
            <w:pPr>
              <w:spacing w:after="0"/>
            </w:pPr>
            <w:r>
              <w:rPr>
                <w:rFonts w:ascii="Arial" w:hAnsi="Arial"/>
                <w:color w:val="5E6874"/>
                <w:sz w:val="21"/>
              </w:rPr>
              <w:t>Базовый сценарий 16 млрд ₽: около 33,9 млн ₽. Осторожный сценарий 8 млрд ₽: около 10,7 млн ₽. Это расчётная стоимость после полного закрепления, а не обещанная выплата на дату.</w:t>
            </w:r>
          </w:p>
        </w:tc>
      </w:tr>
    </w:tbl>
    <w:p>
      <w:pPr>
        <w:pStyle w:val="Heading2"/>
        <w:keepNext/>
      </w:pPr>
      <w:r>
        <w:t>Особые ситуации</w:t>
      </w:r>
    </w:p>
    <w:p>
      <w:pPr>
        <w:spacing w:after="140" w:line="269" w:lineRule="auto"/>
      </w:pPr>
      <w:r>
        <w:t>При добросовестном или нейтральном уходе закреплённое сохраняется, незакреплённое прекращается по правилам плана. Для недобросовестного ухода, смерти или инвалидности и продажи компании применяются специальные положения утверждённого плана.</w:t>
      </w:r>
    </w:p>
    <w:p>
      <w:r>
        <w:br w:type="page"/>
      </w:r>
    </w:p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ИНВЕСТОРОВ</w:t>
      </w:r>
    </w:p>
    <w:p>
      <w:pPr>
        <w:pStyle w:val="Heading1"/>
        <w:keepNext/>
      </w:pPr>
      <w:r>
        <w:t>Согласованные 10% работают на рост и удержание</w:t>
      </w:r>
    </w:p>
    <w:p>
      <w:pPr>
        <w:spacing w:after="280"/>
      </w:pPr>
      <w:r>
        <w:rPr>
          <w:color w:val="5E6874"/>
          <w:sz w:val="28"/>
        </w:rPr>
        <w:t>Программа превращает долю капитала в пять лет ежегодных результатов и трёхлетнее удержание ключевых людей.</w:t>
      </w:r>
    </w:p>
    <w:p>
      <w:pPr>
        <w:pStyle w:val="ListBullet"/>
        <w:spacing w:after="80"/>
      </w:pPr>
      <w:r>
        <w:rPr>
          <w:b/>
        </w:rPr>
        <w:t xml:space="preserve">Привлечь. </w:t>
      </w:r>
      <w:r>
        <w:t>сильных руководителей без немедленной нагрузки на деньги компании.</w:t>
      </w:r>
    </w:p>
    <w:p>
      <w:pPr>
        <w:pStyle w:val="ListBullet"/>
        <w:spacing w:after="80"/>
      </w:pPr>
      <w:r>
        <w:rPr>
          <w:b/>
        </w:rPr>
        <w:t xml:space="preserve">Направить. </w:t>
      </w:r>
      <w:r>
        <w:t>каждый новый пакет на измеримый результат предстоящего года.</w:t>
      </w:r>
    </w:p>
    <w:p>
      <w:pPr>
        <w:pStyle w:val="ListBullet"/>
        <w:spacing w:after="80"/>
      </w:pPr>
      <w:r>
        <w:rPr>
          <w:b/>
        </w:rPr>
        <w:t xml:space="preserve">Удержать. </w:t>
      </w:r>
      <w:r>
        <w:t>уже заработанный пакет закрепляется только за 36 месяцев работы в компании.</w:t>
      </w:r>
    </w:p>
    <w:p>
      <w:pPr>
        <w:pStyle w:val="Heading2"/>
        <w:keepNext/>
      </w:pPr>
      <w:r>
        <w:t>Архитектура уже согласованных 10%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</w:trPr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1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2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3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4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Год 5</w:t>
            </w:r>
          </w:p>
        </w:tc>
        <w:tc>
          <w:tcPr>
            <w:tcW w:type="dxa" w:w="17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Резерв СД</w:t>
            </w:r>
          </w:p>
        </w:tc>
      </w:tr>
      <w:tr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4%</w:t>
            </w:r>
          </w:p>
        </w:tc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2%</w:t>
            </w:r>
          </w:p>
        </w:tc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1%</w:t>
            </w:r>
          </w:p>
        </w:tc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1%</w:t>
            </w:r>
          </w:p>
        </w:tc>
        <w:tc>
          <w:tcPr>
            <w:tcW w:type="dxa" w:w="17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30"/>
              </w:rPr>
              <w:t>1%</w:t>
            </w:r>
          </w:p>
        </w:tc>
        <w:tc>
          <w:tcPr>
            <w:tcW w:type="dxa" w:w="17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30"/>
              </w:rPr>
              <w:t>1%</w:t>
            </w:r>
          </w:p>
        </w:tc>
      </w:tr>
    </w:tbl>
    <w:p>
      <w:pPr>
        <w:spacing w:after="140" w:line="269" w:lineRule="auto"/>
      </w:pPr>
      <w:r>
        <w:t>На старте программы 100 млн акций; 10% равны 10 млн условных единиц. Плановые выдачи используют 9 млн единиц, 1 млн остаётся резервом СД для будущих критичных наймов.</w:t>
      </w:r>
    </w:p>
    <w:p>
      <w:pPr>
        <w:spacing w:after="140" w:line="269" w:lineRule="auto"/>
      </w:pPr>
      <w:r>
        <w:t>Новые раунды размывают единицы программы как обыкновенные акции. Они не восстанавливают и не расширяют исходный предел. За пять плановых раундов компания получает 4 млрд ₽.</w:t>
      </w:r>
    </w:p>
    <w:p>
      <w:pPr>
        <w:pStyle w:val="Heading2"/>
        <w:keepNext/>
      </w:pPr>
      <w:r>
        <w:t>Два барьера каждого пакета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shd w:fill="0A66D6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1 · Результат</w:t>
            </w:r>
          </w:p>
        </w:tc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2 · Удержание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0"/>
              </w:rPr>
              <w:t>СД утверждает участника и пакет до начала года. После года применяется формула 60% компания + 40% личный результат. Новый пакет следующего года не гарантирован.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0"/>
              </w:rPr>
              <w:t>Каждый заработанный пакет закрепляется за 36 месяцев по 1/12 за полный квартал. При уходе незакреплённая часть прекращается по правилам плана.</w:t>
            </w:r>
          </w:p>
        </w:tc>
      </w:tr>
    </w:tbl>
    <w:p>
      <w:r>
        <w:br w:type="page"/>
      </w:r>
    </w:p>
    <w:p>
      <w:pPr>
        <w:spacing w:before="160" w:after="100"/>
      </w:pPr>
      <w:r>
        <w:rPr>
          <w:rFonts w:ascii="Arial" w:hAnsi="Arial"/>
          <w:b/>
          <w:color w:val="0A66D6"/>
          <w:sz w:val="17"/>
        </w:rPr>
        <w:t>ДЛЯ ИНВЕСТОРОВ · ОХВАТ</w:t>
      </w:r>
    </w:p>
    <w:p>
      <w:pPr>
        <w:pStyle w:val="Heading1"/>
        <w:keepNext/>
      </w:pPr>
      <w:r>
        <w:t>До 20 участников покрывают разные источники стоимости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tblHeader w:val="true"/>
        </w:trPr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Направление</w:t>
            </w:r>
          </w:p>
        </w:tc>
        <w:tc>
          <w:tcPr>
            <w:tcW w:type="dxa" w:w="51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Что создаёт или сохраняет стоимость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Сделки и интеграция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приобретённая выручка, синергии и скорость объединения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Разработка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рост продукта и производительности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Операционный центр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маржа, качество и масштабируемость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Коммерческий рост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новая выручка и новые клиенты</w:t>
            </w:r>
          </w:p>
        </w:tc>
      </w:tr>
      <w:tr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Удержание и развитие базы</w:t>
            </w:r>
          </w:p>
        </w:tc>
        <w:tc>
          <w:tcPr>
            <w:tcW w:type="dxa" w:w="51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сохранённая и расширенная повторяющаяся выручка</w:t>
            </w:r>
          </w:p>
        </w:tc>
      </w:tr>
      <w:tr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Контроль рисков</w:t>
            </w:r>
          </w:p>
        </w:tc>
        <w:tc>
          <w:tcPr>
            <w:tcW w:type="dxa" w:w="51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предотвращённые финансовые и юридические потери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rPr>
          <w:tblHeader w:val="true"/>
        </w:trPr>
        <w:tc>
          <w:tcPr>
            <w:tcW w:type="dxa" w:w="10200"/>
            <w:shd w:fill="EEF3FA"/>
            <w:tcMar>
              <w:top w:w="180" w:type="dxa"/>
              <w:left w:w="200" w:type="dxa"/>
              <w:bottom w:w="180" w:type="dxa"/>
              <w:right w:w="200" w:type="dxa"/>
            </w:tcMar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0F1722"/>
                <w:sz w:val="26"/>
              </w:rPr>
              <w:t>Широкий охват не увеличивает согласованные 10%</w:t>
            </w:r>
          </w:p>
          <w:p>
            <w:pPr>
              <w:spacing w:after="0"/>
            </w:pPr>
            <w:r>
              <w:rPr>
                <w:rFonts w:ascii="Arial" w:hAnsi="Arial"/>
                <w:color w:val="5E6874"/>
                <w:sz w:val="21"/>
              </w:rPr>
              <w:t>СД ежегодно выбирает конкретных участников и размеры новых пакетов внутри неизменной архитектуры: 9% плановых выдач и 1% резерва.</w:t>
            </w:r>
          </w:p>
        </w:tc>
      </w:tr>
    </w:tbl>
    <w:p>
      <w:pPr>
        <w:pStyle w:val="Heading2"/>
        <w:keepNext/>
      </w:pPr>
      <w:r>
        <w:t>Экономическое выравнивание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Сценарий</w:t>
            </w:r>
          </w:p>
        </w:tc>
        <w:tc>
          <w:tcPr>
            <w:tcW w:type="dxa" w:w="34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Стоимость компании</w:t>
            </w:r>
          </w:p>
        </w:tc>
        <w:tc>
          <w:tcPr>
            <w:tcW w:type="dxa" w:w="3400"/>
            <w:shd w:fill="0F1722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21"/>
              </w:rPr>
              <w:t>Ориентир стоимости 9%</w:t>
            </w:r>
          </w:p>
        </w:tc>
      </w:tr>
      <w:tr>
        <w:tc>
          <w:tcPr>
            <w:tcW w:type="dxa" w:w="34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Базовый</w:t>
            </w:r>
          </w:p>
        </w:tc>
        <w:tc>
          <w:tcPr>
            <w:tcW w:type="dxa" w:w="34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16 млрд ₽</w:t>
            </w:r>
          </w:p>
        </w:tc>
        <w:tc>
          <w:tcPr>
            <w:tcW w:type="dxa" w:w="3400"/>
            <w:shd w:fill="EEF3FA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≈ 1,03 млрд ₽</w:t>
            </w:r>
          </w:p>
        </w:tc>
      </w:tr>
      <w:tr>
        <w:tc>
          <w:tcPr>
            <w:tcW w:type="dxa" w:w="34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0F1722"/>
                <w:sz w:val="21"/>
              </w:rPr>
              <w:t>Осторожный</w:t>
            </w:r>
          </w:p>
        </w:tc>
        <w:tc>
          <w:tcPr>
            <w:tcW w:type="dxa" w:w="34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8 млрд ₽</w:t>
            </w:r>
          </w:p>
        </w:tc>
        <w:tc>
          <w:tcPr>
            <w:tcW w:type="dxa" w:w="3400"/>
            <w:shd w:fill="FFFFFF"/>
            <w:vAlign w:val="center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0F1722"/>
                <w:sz w:val="21"/>
              </w:rPr>
              <w:t>≈ 409 млн ₽</w:t>
            </w:r>
          </w:p>
        </w:tc>
      </w:tr>
    </w:tbl>
    <w:p>
      <w:pPr>
        <w:spacing w:after="140" w:line="269" w:lineRule="auto"/>
      </w:pPr>
      <w:r>
        <w:t>Программа дорожает только вместе с компанией. Значимый результат команды возникает только при значимом результате инвесторов.</w:t>
      </w:r>
    </w:p>
    <w:p>
      <w:pPr>
        <w:pStyle w:val="Heading2"/>
        <w:keepNext/>
      </w:pPr>
      <w:r>
        <w:t>Контур управления</w:t>
      </w:r>
    </w:p>
    <w:p>
      <w:pPr>
        <w:pStyle w:val="ListBullet"/>
        <w:spacing w:after="80"/>
      </w:pPr>
      <w:r>
        <w:rPr>
          <w:b/>
        </w:rPr>
        <w:t xml:space="preserve">До года. </w:t>
      </w:r>
      <w:r>
        <w:t>СД утверждает участника, пакет, цену единицы и показатели.</w:t>
      </w:r>
    </w:p>
    <w:p>
      <w:pPr>
        <w:pStyle w:val="ListBullet"/>
        <w:spacing w:after="80"/>
      </w:pPr>
      <w:r>
        <w:rPr>
          <w:b/>
        </w:rPr>
        <w:t xml:space="preserve">После года. </w:t>
      </w:r>
      <w:r>
        <w:t>заранее заданная формула определяет заработанную часть без пересмотра по новой оценке.</w:t>
      </w:r>
    </w:p>
    <w:p>
      <w:pPr>
        <w:pStyle w:val="ListBullet"/>
        <w:spacing w:after="80"/>
      </w:pPr>
      <w:r>
        <w:rPr>
          <w:b/>
        </w:rPr>
        <w:t xml:space="preserve">После результата. </w:t>
      </w:r>
      <w:r>
        <w:t>трёхлетний срок закрепления удерживает участника.</w:t>
      </w:r>
    </w:p>
    <w:p>
      <w:pPr>
        <w:pStyle w:val="ListBullet"/>
        <w:spacing w:after="80"/>
      </w:pPr>
      <w:r>
        <w:rPr>
          <w:b/>
        </w:rPr>
        <w:t xml:space="preserve">Каждый новый год. </w:t>
      </w:r>
      <w:r>
        <w:t>СД заново отбирает критичных участников в пределах годового объёма и общего ограничения.</w:t>
      </w:r>
    </w:p>
    <w:p>
      <w:pPr>
        <w:spacing w:after="140" w:line="269" w:lineRule="auto"/>
      </w:pPr>
      <w:r>
        <w:t>Юридически действуют утверждённый план и индивидуальное уведомление. Настоящее описание объясняет экономическую механику и не создаёт отдельного обещания выплаты.</w:t>
      </w:r>
    </w:p>
    <w:sectPr w:rsidR="00FC693F" w:rsidRPr="0006063C" w:rsidSect="00034616">
      <w:footerReference w:type="default" r:id="rId9"/>
      <w:pgSz w:w="12240" w:h="15840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E6874"/>
        <w:sz w:val="16"/>
      </w:rPr>
      <w:t>Aivel · программа долгосрочной мотивации · публичное описание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17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F1722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F172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0F17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Aivel — программа долгосрочной мотивации</dc:title>
  <dc:subject>Публичное описание программы LTI для команды и инвесторов</dc:subject>
  <dc:creator>Aivel</dc:creator>
  <cp:keywords/>
  <dc:description>generated by python-docx</dc:description>
  <cp:lastModifiedBy>Aivel</cp:lastModifiedBy>
  <cp:revision>1</cp:revision>
  <dcterms:created xsi:type="dcterms:W3CDTF">2013-12-23T23:15:00Z</dcterms:created>
  <dcterms:modified xsi:type="dcterms:W3CDTF">2013-12-23T23:15:00Z</dcterms:modified>
  <cp:category/>
</cp:coreProperties>
</file>