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00"/>
      </w:pPr>
      <w:r>
        <w:rPr>
          <w:rFonts w:ascii="Arial" w:hAnsi="Arial"/>
          <w:b/>
          <w:color w:val="0A66D6"/>
          <w:sz w:val="17"/>
        </w:rPr>
        <w:t>ДЛЯ КОМАНДЫ</w:t>
      </w:r>
    </w:p>
    <w:p>
      <w:pPr>
        <w:pStyle w:val="Heading1"/>
        <w:keepNext/>
      </w:pPr>
      <w:r>
        <w:t>Мы растим стоимость — и разделяем результат</w:t>
      </w:r>
    </w:p>
    <w:p>
      <w:pPr>
        <w:spacing w:after="280"/>
      </w:pPr>
      <w:r>
        <w:rPr>
          <w:color w:val="5E6874"/>
          <w:sz w:val="28"/>
        </w:rPr>
        <w:t>На пять лет для команды согласовано 10% акций компании.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A66D6"/>
            <w:tcMar>
              <w:top w:w="220" w:type="dxa"/>
              <w:left w:w="220" w:type="dxa"/>
              <w:bottom w:w="220" w:type="dxa"/>
              <w:right w:w="220" w:type="dxa"/>
            </w:tcMar>
          </w:tcPr>
          <w:p>
            <w:pPr>
              <w:spacing w:after="1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ОСТОРОЖНЫЙ СЦЕНАРИЙ · 8 МЛРД ₽</w:t>
            </w:r>
          </w:p>
          <w:p>
            <w:pPr>
              <w:spacing w:after="100"/>
            </w:pPr>
            <w:r>
              <w:rPr>
                <w:rFonts w:ascii="Arial" w:hAnsi="Arial"/>
                <w:b/>
                <w:color w:val="FFFFFF"/>
                <w:sz w:val="48"/>
              </w:rPr>
              <w:t>≈ 409 млн ₽</w:t>
            </w:r>
          </w:p>
          <w:p>
            <w:pPr>
              <w:spacing w:after="0"/>
            </w:pPr>
            <w:r>
              <w:rPr>
                <w:rFonts w:ascii="Arial" w:hAnsi="Arial"/>
                <w:color w:val="FFFFFF"/>
                <w:sz w:val="20"/>
              </w:rPr>
              <w:t>Предел 9% исходных акций → 5,1% после раундов</w:t>
            </w:r>
          </w:p>
        </w:tc>
        <w:tc>
          <w:tcPr>
            <w:tcW w:type="dxa" w:w="5100"/>
            <w:shd w:fill="0F1722"/>
            <w:tcMar>
              <w:top w:w="220" w:type="dxa"/>
              <w:left w:w="220" w:type="dxa"/>
              <w:bottom w:w="220" w:type="dxa"/>
              <w:right w:w="220" w:type="dxa"/>
            </w:tcMar>
          </w:tcPr>
          <w:p>
            <w:pPr>
              <w:spacing w:after="1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БАЗОВЫЙ СЦЕНАРИЙ · 16 МЛРД ₽</w:t>
            </w:r>
          </w:p>
          <w:p>
            <w:pPr>
              <w:spacing w:after="100"/>
            </w:pPr>
            <w:r>
              <w:rPr>
                <w:rFonts w:ascii="Arial" w:hAnsi="Arial"/>
                <w:b/>
                <w:color w:val="FFFFFF"/>
                <w:sz w:val="48"/>
              </w:rPr>
              <w:t>≈ 1,03 млрд ₽</w:t>
            </w:r>
          </w:p>
          <w:p>
            <w:pPr>
              <w:spacing w:after="0"/>
            </w:pPr>
            <w:r>
              <w:rPr>
                <w:rFonts w:ascii="Arial" w:hAnsi="Arial"/>
                <w:color w:val="FFFFFF"/>
                <w:sz w:val="20"/>
              </w:rPr>
              <w:t>Предел 9% исходных акций → 6,5% после раундов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10200"/>
            <w:shd w:fill="EEF3FA"/>
            <w:tcMar>
              <w:top w:w="180" w:type="dxa"/>
              <w:left w:w="200" w:type="dxa"/>
              <w:bottom w:w="180" w:type="dxa"/>
              <w:right w:w="200" w:type="dxa"/>
            </w:tcMar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color w:val="0F1722"/>
                <w:sz w:val="26"/>
              </w:rPr>
              <w:t>Рост компании может стать значимым личным финансовым результатом</w:t>
            </w:r>
          </w:p>
          <w:p>
            <w:pPr>
              <w:spacing w:after="0"/>
            </w:pPr>
            <w:r>
              <w:rPr>
                <w:rFonts w:ascii="Arial" w:hAnsi="Arial"/>
                <w:color w:val="5E6874"/>
                <w:sz w:val="21"/>
              </w:rPr>
              <w:t>Программа действует сверх обычной денежной премии. Ещё 1% исходных акций остаётся резервом СД для будущих критичных наймов.</w:t>
            </w:r>
          </w:p>
        </w:tc>
      </w:tr>
    </w:tbl>
    <w:p>
      <w:pPr>
        <w:pStyle w:val="Heading2"/>
        <w:keepNext/>
      </w:pPr>
      <w:r>
        <w:t>Как пройти один год</w:t>
      </w:r>
    </w:p>
    <w:p>
      <w:pPr>
        <w:pStyle w:val="ListBullet"/>
        <w:spacing w:after="80"/>
      </w:pPr>
      <w:r>
        <w:rPr>
          <w:b/>
        </w:rPr>
        <w:t xml:space="preserve">1 · Быть выбранным. </w:t>
      </w:r>
      <w:r>
        <w:t>Заслужить ограниченные голоса команды; формула определит целевой пакет.</w:t>
      </w:r>
    </w:p>
    <w:p>
      <w:pPr>
        <w:pStyle w:val="ListBullet"/>
        <w:spacing w:after="80"/>
      </w:pPr>
      <w:r>
        <w:rPr>
          <w:b/>
        </w:rPr>
        <w:t xml:space="preserve">2 · Заработать. </w:t>
      </w:r>
      <w:r>
        <w:t>После года формула 60% результат компании + 40% личный результат определяет заработанные единицы.</w:t>
      </w:r>
    </w:p>
    <w:p>
      <w:pPr>
        <w:pStyle w:val="ListBullet"/>
        <w:spacing w:after="80"/>
      </w:pPr>
      <w:r>
        <w:rPr>
          <w:b/>
        </w:rPr>
        <w:t xml:space="preserve">3 · Закрепить. </w:t>
      </w:r>
      <w:r>
        <w:t>Заработанный пакет закрепляется по 1/12 за полный квартал в течение 36 месяцев.</w:t>
      </w:r>
    </w:p>
    <w:p>
      <w:pPr>
        <w:pStyle w:val="ListBullet"/>
        <w:spacing w:after="80"/>
      </w:pPr>
      <w:r>
        <w:rPr>
          <w:b/>
        </w:rPr>
        <w:t xml:space="preserve">4 · Повторить. </w:t>
      </w:r>
      <w:r>
        <w:t>Для нового пакета нужно снова заслужить голоса; новый выбор не отменяет уже заработанное.</w:t>
      </w:r>
    </w:p>
    <w:p>
      <w:pPr>
        <w:pStyle w:val="Heading2"/>
        <w:keepNext/>
      </w:pPr>
      <w:r>
        <w:t>Особые ситуации</w:t>
      </w:r>
    </w:p>
    <w:p>
      <w:pPr>
        <w:spacing w:after="140" w:line="269" w:lineRule="auto"/>
      </w:pPr>
      <w:r>
        <w:t>При добросовестном или нейтральном уходе закреплённое сохраняется, незакреплённое прекращается по правилам плана. Для недобросовестного ухода, смерти или инвалидности и продажи компании применяются специальные положения утверждённого плана. Юридически действуют утверждённый план и индивидуальное уведомление.</w:t>
      </w:r>
    </w:p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A66D6"/>
          <w:sz w:val="17"/>
        </w:rPr>
        <w:t>ДЛЯ КОМАНДЫ · МЕХАНИКА</w:t>
      </w:r>
    </w:p>
    <w:p>
      <w:pPr>
        <w:pStyle w:val="Heading1"/>
        <w:keepNext/>
      </w:pPr>
      <w:r>
        <w:t>Один сквозной пример: от 450 тыс. ₽ до заработанных единиц</w:t>
      </w:r>
    </w:p>
    <w:p>
      <w:pPr>
        <w:spacing w:after="280"/>
      </w:pPr>
      <w:r>
        <w:rPr>
          <w:color w:val="5E6874"/>
          <w:sz w:val="28"/>
        </w:rPr>
        <w:t>Все суммы ниже — иллюстрация правил, а не индивидуальное обещание.</w:t>
      </w:r>
    </w:p>
    <w:p>
      <w:pPr>
        <w:pStyle w:val="Heading2"/>
        <w:keepNext/>
      </w:pPr>
      <w:r>
        <w:t>1. Командный выбор и целевой пакет</w:t>
      </w:r>
    </w:p>
    <w:p>
      <w:pPr>
        <w:spacing w:after="140" w:line="269" w:lineRule="auto"/>
      </w:pPr>
      <w:r>
        <w:t>Участник должен существенно влиять на выручку через сделки, интеграцию или органический рост; повышать маржу бизнеса с помощью ИИ и других улучшений; либо контролировать существенные финансовые, юридические или операционные риски.</w:t>
      </w:r>
    </w:p>
    <w:p>
      <w:pPr>
        <w:spacing w:after="140" w:line="269" w:lineRule="auto"/>
      </w:pPr>
      <w:r>
        <w:t>Годовой лимит делится поровну между пятью направлениями: ключевые роли — СЕО и CPO/CTO; M&amp;A, включая CFO и CLO; коммерция; маркетинг; продуктовая команда. Каждое направление голосует за сравнительную полезность людей ограниченными голосами. СЕО и CPO/CTO голосуют во всех пяти направлениях наравне с участниками, без права вето; за себя голосовать нельзя. По ключевым ролям голосует общий круг представителей пяти направлений.</w:t>
      </w:r>
    </w:p>
    <w:p>
      <w:pPr>
        <w:spacing w:after="140" w:line="269" w:lineRule="auto"/>
      </w:pPr>
      <w:r>
        <w:t>Концентрация поддержки определяет число участников и пакет 0,25 / 0,5 / 0,75 / 1. Пакет 1 — одна годовая зарплата с учётом всех налогов и взносов компании; остальные пакеты — соответствующие части этой суммы. Чтобы получить пакет 1, нужно стать выраженным центром командного согласия.</w:t>
      </w:r>
    </w:p>
    <w:p>
      <w:pPr>
        <w:spacing w:after="140" w:line="269" w:lineRule="auto"/>
      </w:pPr>
      <w:r>
        <w:t>Условная единица — экономическое право по плану, а не акция и не право голоса. Для расчёта 100 млн условных единиц соответствуют всем исходным акциям; при индикативной оценке 1,6 млрд ₽ одна единица стоит 16 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tblHeader w:val="true"/>
        </w:trPr>
        <w:tc>
          <w:tcPr>
            <w:tcW w:type="dxa" w:w="5100"/>
            <w:shd w:fill="0F1722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Шаг</w:t>
            </w:r>
          </w:p>
        </w:tc>
        <w:tc>
          <w:tcPr>
            <w:tcW w:type="dxa" w:w="5100"/>
            <w:shd w:fill="0F1722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Расчёт</w:t>
            </w:r>
          </w:p>
        </w:tc>
      </w:tr>
      <w:tr>
        <w:tc>
          <w:tcPr>
            <w:tcW w:type="dxa" w:w="5100"/>
            <w:shd w:fill="EEF3F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1722"/>
                <w:sz w:val="21"/>
              </w:rPr>
              <w:t>Месячная зарплата до налогов</w:t>
            </w:r>
          </w:p>
        </w:tc>
        <w:tc>
          <w:tcPr>
            <w:tcW w:type="dxa" w:w="5100"/>
            <w:shd w:fill="EEF3F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F1722"/>
                <w:sz w:val="21"/>
              </w:rPr>
              <w:t>450 тыс. ₽</w:t>
            </w:r>
          </w:p>
        </w:tc>
      </w:tr>
      <w:tr>
        <w:tc>
          <w:tcPr>
            <w:tcW w:type="dxa" w:w="5100"/>
            <w:shd w:fill="FFFFFF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1722"/>
                <w:sz w:val="21"/>
              </w:rPr>
              <w:t>Годовая зарплата с налогами и взносами</w:t>
            </w:r>
          </w:p>
        </w:tc>
        <w:tc>
          <w:tcPr>
            <w:tcW w:type="dxa" w:w="5100"/>
            <w:shd w:fill="FFFFFF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F1722"/>
                <w:sz w:val="21"/>
              </w:rPr>
              <w:t>6,21 млн ₽</w:t>
            </w:r>
          </w:p>
        </w:tc>
      </w:tr>
      <w:tr>
        <w:tc>
          <w:tcPr>
            <w:tcW w:type="dxa" w:w="5100"/>
            <w:shd w:fill="EEF3F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1722"/>
                <w:sz w:val="21"/>
              </w:rPr>
              <w:t>Пакет 0,5</w:t>
            </w:r>
          </w:p>
        </w:tc>
        <w:tc>
          <w:tcPr>
            <w:tcW w:type="dxa" w:w="5100"/>
            <w:shd w:fill="EEF3F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F1722"/>
                <w:sz w:val="21"/>
              </w:rPr>
              <w:t>3,105 млн ₽</w:t>
            </w:r>
          </w:p>
        </w:tc>
      </w:tr>
      <w:tr>
        <w:tc>
          <w:tcPr>
            <w:tcW w:type="dxa" w:w="5100"/>
            <w:shd w:fill="FFFFFF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1722"/>
                <w:sz w:val="21"/>
              </w:rPr>
              <w:t>Целевые единицы</w:t>
            </w:r>
          </w:p>
        </w:tc>
        <w:tc>
          <w:tcPr>
            <w:tcW w:type="dxa" w:w="5100"/>
            <w:shd w:fill="FFFFFF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F1722"/>
                <w:sz w:val="21"/>
              </w:rPr>
              <w:t>3,105 млн ₽ / 16 ₽ ≈ 194 тыс.</w:t>
            </w:r>
          </w:p>
        </w:tc>
      </w:tr>
    </w:tbl>
    <w:p>
      <w:pPr>
        <w:pStyle w:val="Heading2"/>
        <w:keepNext/>
      </w:pPr>
      <w:r>
        <w:t>2. Результат 60 / 40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10200"/>
            <w:shd w:fill="0F1722"/>
            <w:tcMar>
              <w:top w:w="180" w:type="dxa"/>
              <w:left w:w="200" w:type="dxa"/>
              <w:bottom w:w="180" w:type="dxa"/>
              <w:right w:w="200" w:type="dxa"/>
            </w:tcMar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60% × 80% + 40% × 100% = 88%</w:t>
            </w:r>
          </w:p>
          <w:p>
            <w:pPr>
              <w:spacing w:after="0"/>
            </w:pPr>
            <w:r>
              <w:rPr>
                <w:rFonts w:ascii="Arial" w:hAnsi="Arial"/>
                <w:color w:val="FFFFFF"/>
                <w:sz w:val="21"/>
              </w:rPr>
              <w:t>194 тыс. целевых единиц × 88% = примерно 171 тыс. заработанных единиц. Участник и пакет определены до начала года; после этого формула работает автоматически.</w:t>
            </w:r>
          </w:p>
        </w:tc>
      </w:tr>
    </w:tbl>
    <w:p>
      <w:pPr>
        <w:pStyle w:val="Heading2"/>
        <w:keepNext/>
      </w:pPr>
      <w:r>
        <w:t>3. Закрепление за 36 месяцев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0A66D6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0 мес.</w:t>
            </w:r>
          </w:p>
        </w:tc>
        <w:tc>
          <w:tcPr>
            <w:tcW w:type="dxa" w:w="2550"/>
            <w:shd w:fill="0A66D6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12 мес.</w:t>
            </w:r>
          </w:p>
        </w:tc>
        <w:tc>
          <w:tcPr>
            <w:tcW w:type="dxa" w:w="2550"/>
            <w:shd w:fill="0A66D6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24 мес.</w:t>
            </w:r>
          </w:p>
        </w:tc>
        <w:tc>
          <w:tcPr>
            <w:tcW w:type="dxa" w:w="2550"/>
            <w:shd w:fill="0A66D6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36 мес.</w:t>
            </w:r>
          </w:p>
        </w:tc>
      </w:tr>
      <w:tr>
        <w:tc>
          <w:tcPr>
            <w:tcW w:type="dxa" w:w="2550"/>
            <w:shd w:fill="EEF3F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A66D6"/>
                <w:sz w:val="21"/>
              </w:rPr>
              <w:t>0</w:t>
            </w:r>
          </w:p>
        </w:tc>
        <w:tc>
          <w:tcPr>
            <w:tcW w:type="dxa" w:w="2550"/>
            <w:shd w:fill="EEF3F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A66D6"/>
                <w:sz w:val="21"/>
              </w:rPr>
              <w:t>≈ 57 тыс.</w:t>
            </w:r>
          </w:p>
        </w:tc>
        <w:tc>
          <w:tcPr>
            <w:tcW w:type="dxa" w:w="2550"/>
            <w:shd w:fill="EEF3F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A66D6"/>
                <w:sz w:val="21"/>
              </w:rPr>
              <w:t>≈ 114 тыс.</w:t>
            </w:r>
          </w:p>
        </w:tc>
        <w:tc>
          <w:tcPr>
            <w:tcW w:type="dxa" w:w="2550"/>
            <w:shd w:fill="EEF3F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A66D6"/>
                <w:sz w:val="21"/>
              </w:rPr>
              <w:t>≈ 171 тыс.</w:t>
            </w:r>
          </w:p>
        </w:tc>
      </w:tr>
    </w:tbl>
    <w:p>
      <w:pPr>
        <w:spacing w:before="160" w:after="100"/>
      </w:pPr>
      <w:r>
        <w:rPr>
          <w:rFonts w:ascii="Arial" w:hAnsi="Arial"/>
          <w:b/>
          <w:color w:val="0A66D6"/>
          <w:sz w:val="17"/>
        </w:rPr>
        <w:t>ДЛЯ КОМАНДЫ · ДОЛГИЙ РЕЗУЛЬТАТ</w:t>
      </w:r>
    </w:p>
    <w:p>
      <w:pPr>
        <w:pStyle w:val="Heading1"/>
        <w:keepNext/>
      </w:pPr>
      <w:r>
        <w:t>Большой результат складывается из пяти отдельных ежегодных выборов</w:t>
      </w:r>
    </w:p>
    <w:p>
      <w:pPr>
        <w:spacing w:after="280"/>
      </w:pPr>
      <w:r>
        <w:rPr>
          <w:color w:val="5E6874"/>
          <w:sz w:val="28"/>
        </w:rPr>
        <w:t>Это не одно безусловное обещание на пять лет.</w:t>
      </w:r>
    </w:p>
    <w:p>
      <w:pPr>
        <w:pStyle w:val="Heading2"/>
        <w:keepNext/>
      </w:pPr>
      <w:r>
        <w:t>Что могут дать пять пакетов</w:t>
      </w:r>
    </w:p>
    <w:p>
      <w:pPr>
        <w:spacing w:after="140" w:line="269" w:lineRule="auto"/>
      </w:pPr>
      <w:r>
        <w:t>При зарплате 450 тыс. ₽, первом пакете 0,5, результате первого года 88%, последующем пути пакетов 0,75 / 0,75 / 0,75 / 1,0 и выполнении показателей следующих лет на 100% полная расчётная стоимость составляет около 47,5 млн ₽ в базовом сценарии и 27,1 млн ₽ в осторожном.</w:t>
      </w:r>
    </w:p>
    <w:p>
      <w:pPr>
        <w:spacing w:after="140" w:line="269" w:lineRule="auto"/>
      </w:pPr>
      <w:r>
        <w:t>К концу пятого года в этом примере закрепилось около 35,1 млн ₽ в базовом сценарии и 16,6 млн ₽ в осторожном. Оставшаяся часть продолжает закрепляться, пока участник работает в компании.</w:t>
      </w:r>
    </w:p>
    <w:p>
      <w:pPr>
        <w:pStyle w:val="Heading2"/>
        <w:keepNext/>
      </w:pPr>
      <w:r>
        <w:t>Два пути к деньгам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A66D6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Продажа компании</w:t>
            </w:r>
          </w:p>
        </w:tc>
        <w:tc>
          <w:tcPr>
            <w:tcW w:type="dxa" w:w="5100"/>
            <w:shd w:fill="0F1722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Дивиденды</w:t>
            </w:r>
          </w:p>
        </w:tc>
      </w:tr>
      <w:tr>
        <w:tc>
          <w:tcPr>
            <w:tcW w:type="dxa" w:w="5100"/>
            <w:shd w:fill="EEF3F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1722"/>
                <w:sz w:val="20"/>
              </w:rPr>
              <w:t>Разовая выплата на закрепившиеся к сделке единицы. Незакреплённая часть не выплачивается автоматически.</w:t>
            </w:r>
          </w:p>
        </w:tc>
        <w:tc>
          <w:tcPr>
            <w:tcW w:type="dxa" w:w="5100"/>
            <w:shd w:fill="EEF3F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1722"/>
                <w:sz w:val="20"/>
              </w:rPr>
              <w:t>Возможный ежегодный поток по мере закрепления пакетов. Требует отдельного решения владельцев и не гарантирован.</w:t>
            </w:r>
          </w:p>
        </w:tc>
      </w:tr>
    </w:tbl>
    <w:p>
      <w:pPr>
        <w:pStyle w:val="Heading2"/>
        <w:keepNext/>
      </w:pPr>
      <w:r>
        <w:t>Три группы рисков</w:t>
      </w:r>
    </w:p>
    <w:p>
      <w:pPr>
        <w:pStyle w:val="ListBullet"/>
        <w:spacing w:after="80"/>
      </w:pPr>
      <w:r>
        <w:rPr>
          <w:b/>
        </w:rPr>
        <w:t xml:space="preserve">Зависит от участника. </w:t>
      </w:r>
      <w:r>
        <w:t>полезность для команды, личный результат и работа в компании в течение срока закрепления.</w:t>
      </w:r>
    </w:p>
    <w:p>
      <w:pPr>
        <w:pStyle w:val="ListBullet"/>
        <w:spacing w:after="80"/>
      </w:pPr>
      <w:r>
        <w:rPr>
          <w:b/>
        </w:rPr>
        <w:t xml:space="preserve">Зависит от команды. </w:t>
      </w:r>
      <w:r>
        <w:t>ограниченные голоса определяют участие и размер пакета; результат компании и оценка влияют на заработанную часть и итоговую сумму.</w:t>
      </w:r>
    </w:p>
    <w:p>
      <w:pPr>
        <w:pStyle w:val="ListBullet"/>
        <w:spacing w:after="80"/>
      </w:pPr>
      <w:r>
        <w:rPr>
          <w:b/>
        </w:rPr>
        <w:t xml:space="preserve">Не гарантировано. </w:t>
      </w:r>
      <w:r>
        <w:t>событие выплаты, его дата и фактическая сумма после личных налогов и условий конкретной сделки.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10200"/>
            <w:shd w:fill="EEF3FA"/>
            <w:tcMar>
              <w:top w:w="180" w:type="dxa"/>
              <w:left w:w="200" w:type="dxa"/>
              <w:bottom w:w="180" w:type="dxa"/>
              <w:right w:w="200" w:type="dxa"/>
            </w:tcMar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color w:val="0F1722"/>
                <w:sz w:val="26"/>
              </w:rPr>
              <w:t>Два ориентира медианного участника</w:t>
            </w:r>
          </w:p>
          <w:p>
            <w:pPr>
              <w:spacing w:after="0"/>
            </w:pPr>
            <w:r>
              <w:rPr>
                <w:rFonts w:ascii="Arial" w:hAnsi="Arial"/>
                <w:color w:val="5E6874"/>
                <w:sz w:val="21"/>
              </w:rPr>
              <w:t>Базовый сценарий 16 млрд ₽: около 23,8 млн ₽. Осторожный сценарий 8 млрд ₽: около 10,5 млн ₽. Это расчётная стоимость по цене Г6 при условии полного закрепления, выполнения показателей на 100% и отсутствия уходов.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 w:val="true"/>
        </w:trPr>
        <w:tc>
          <w:tcPr>
            <w:tcW w:type="dxa" w:w="1457"/>
            <w:shd w:fill="0F1722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Сценарий</w:t>
            </w:r>
          </w:p>
        </w:tc>
        <w:tc>
          <w:tcPr>
            <w:tcW w:type="dxa" w:w="1457"/>
            <w:shd w:fill="0F1722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Г1</w:t>
            </w:r>
          </w:p>
        </w:tc>
        <w:tc>
          <w:tcPr>
            <w:tcW w:type="dxa" w:w="1457"/>
            <w:shd w:fill="0F1722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Г2</w:t>
            </w:r>
          </w:p>
        </w:tc>
        <w:tc>
          <w:tcPr>
            <w:tcW w:type="dxa" w:w="1457"/>
            <w:shd w:fill="0F1722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Г3</w:t>
            </w:r>
          </w:p>
        </w:tc>
        <w:tc>
          <w:tcPr>
            <w:tcW w:type="dxa" w:w="1457"/>
            <w:shd w:fill="0F1722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Г4</w:t>
            </w:r>
          </w:p>
        </w:tc>
        <w:tc>
          <w:tcPr>
            <w:tcW w:type="dxa" w:w="1457"/>
            <w:shd w:fill="0F1722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Г5</w:t>
            </w:r>
          </w:p>
        </w:tc>
        <w:tc>
          <w:tcPr>
            <w:tcW w:type="dxa" w:w="1457"/>
            <w:shd w:fill="0F1722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Медиана Г6</w:t>
            </w:r>
          </w:p>
        </w:tc>
      </w:tr>
      <w:tr>
        <w:tc>
          <w:tcPr>
            <w:tcW w:type="dxa" w:w="1457"/>
            <w:shd w:fill="EEF3F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F1722"/>
                <w:sz w:val="17"/>
              </w:rPr>
              <w:t>Базовый</w:t>
            </w:r>
          </w:p>
        </w:tc>
        <w:tc>
          <w:tcPr>
            <w:tcW w:type="dxa" w:w="1457"/>
            <w:shd w:fill="EEF3F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1722"/>
                <w:sz w:val="17"/>
              </w:rPr>
              <w:t>19</w:t>
            </w:r>
          </w:p>
        </w:tc>
        <w:tc>
          <w:tcPr>
            <w:tcW w:type="dxa" w:w="1457"/>
            <w:shd w:fill="EEF3F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1722"/>
                <w:sz w:val="17"/>
              </w:rPr>
              <w:t>20</w:t>
            </w:r>
          </w:p>
        </w:tc>
        <w:tc>
          <w:tcPr>
            <w:tcW w:type="dxa" w:w="1457"/>
            <w:shd w:fill="EEF3F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1722"/>
                <w:sz w:val="17"/>
              </w:rPr>
              <w:t>17</w:t>
            </w:r>
          </w:p>
        </w:tc>
        <w:tc>
          <w:tcPr>
            <w:tcW w:type="dxa" w:w="1457"/>
            <w:shd w:fill="EEF3F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1722"/>
                <w:sz w:val="17"/>
              </w:rPr>
              <w:t>16</w:t>
            </w:r>
          </w:p>
        </w:tc>
        <w:tc>
          <w:tcPr>
            <w:tcW w:type="dxa" w:w="1457"/>
            <w:shd w:fill="EEF3F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1722"/>
                <w:sz w:val="17"/>
              </w:rPr>
              <w:t>11</w:t>
            </w:r>
          </w:p>
        </w:tc>
        <w:tc>
          <w:tcPr>
            <w:tcW w:type="dxa" w:w="1457"/>
            <w:shd w:fill="EEF3F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1722"/>
                <w:sz w:val="17"/>
              </w:rPr>
              <w:t>23,8 млн ₽</w:t>
            </w:r>
          </w:p>
        </w:tc>
      </w:tr>
      <w:tr>
        <w:tc>
          <w:tcPr>
            <w:tcW w:type="dxa" w:w="1457"/>
            <w:shd w:fill="FFFFFF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F1722"/>
                <w:sz w:val="17"/>
              </w:rPr>
              <w:t>Осторожный</w:t>
            </w:r>
          </w:p>
        </w:tc>
        <w:tc>
          <w:tcPr>
            <w:tcW w:type="dxa" w:w="1457"/>
            <w:shd w:fill="FFFFFF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1722"/>
                <w:sz w:val="17"/>
              </w:rPr>
              <w:t>19</w:t>
            </w:r>
          </w:p>
        </w:tc>
        <w:tc>
          <w:tcPr>
            <w:tcW w:type="dxa" w:w="1457"/>
            <w:shd w:fill="FFFFFF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1722"/>
                <w:sz w:val="17"/>
              </w:rPr>
              <w:t>20</w:t>
            </w:r>
          </w:p>
        </w:tc>
        <w:tc>
          <w:tcPr>
            <w:tcW w:type="dxa" w:w="1457"/>
            <w:shd w:fill="FFFFFF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1722"/>
                <w:sz w:val="17"/>
              </w:rPr>
              <w:t>13</w:t>
            </w:r>
          </w:p>
        </w:tc>
        <w:tc>
          <w:tcPr>
            <w:tcW w:type="dxa" w:w="1457"/>
            <w:shd w:fill="FFFFFF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1722"/>
                <w:sz w:val="17"/>
              </w:rPr>
              <w:t>10</w:t>
            </w:r>
          </w:p>
        </w:tc>
        <w:tc>
          <w:tcPr>
            <w:tcW w:type="dxa" w:w="1457"/>
            <w:shd w:fill="FFFFFF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1722"/>
                <w:sz w:val="17"/>
              </w:rPr>
              <w:t>7</w:t>
            </w:r>
          </w:p>
        </w:tc>
        <w:tc>
          <w:tcPr>
            <w:tcW w:type="dxa" w:w="1457"/>
            <w:shd w:fill="FFFFFF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1722"/>
                <w:sz w:val="17"/>
              </w:rPr>
              <w:t>10,5 млн ₽</w:t>
            </w:r>
          </w:p>
        </w:tc>
      </w:tr>
    </w:tbl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A66D6"/>
          <w:sz w:val="17"/>
        </w:rPr>
        <w:t>ДЛЯ ИНВЕСТОРОВ</w:t>
      </w:r>
    </w:p>
    <w:p>
      <w:pPr>
        <w:pStyle w:val="Heading1"/>
        <w:keepNext/>
      </w:pPr>
      <w:r>
        <w:t>Привлечь сильных. Удержать ключевых. Выровнять интересы команды и инвесторов</w:t>
      </w:r>
    </w:p>
    <w:p>
      <w:pPr>
        <w:spacing w:after="280"/>
      </w:pPr>
      <w:r>
        <w:rPr>
          <w:color w:val="5E6874"/>
          <w:sz w:val="28"/>
        </w:rPr>
        <w:t>Программа связывает вознаграждение с ежегодным результатом, ростом стоимости компании и продолжением работы в ней.</w:t>
      </w:r>
    </w:p>
    <w:p>
      <w:pPr>
        <w:pStyle w:val="ListBullet"/>
        <w:spacing w:after="80"/>
      </w:pPr>
      <w:r>
        <w:rPr>
          <w:b/>
        </w:rPr>
        <w:t xml:space="preserve">Привлечь. </w:t>
      </w:r>
      <w:r>
        <w:t>сильных руководителей без немедленной нагрузки на деньги компании.</w:t>
      </w:r>
    </w:p>
    <w:p>
      <w:pPr>
        <w:pStyle w:val="ListBullet"/>
        <w:spacing w:after="80"/>
      </w:pPr>
      <w:r>
        <w:rPr>
          <w:b/>
        </w:rPr>
        <w:t xml:space="preserve">Удержать. </w:t>
      </w:r>
      <w:r>
        <w:t>уже заработанный пакет закрепляется только за 36 месяцев работы в компании.</w:t>
      </w:r>
    </w:p>
    <w:p>
      <w:pPr>
        <w:pStyle w:val="ListBullet"/>
        <w:spacing w:after="80"/>
      </w:pPr>
      <w:r>
        <w:rPr>
          <w:b/>
        </w:rPr>
        <w:t xml:space="preserve">Общий экономический результат. </w:t>
      </w:r>
      <w:r>
        <w:t>вознаграждение растёт только вместе со стоимостью компании.</w:t>
      </w:r>
    </w:p>
    <w:p>
      <w:pPr>
        <w:pStyle w:val="Heading2"/>
        <w:keepNext/>
      </w:pPr>
      <w:r>
        <w:t>Как распределяются 10%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</w:trPr>
        <w:tc>
          <w:tcPr>
            <w:tcW w:type="dxa" w:w="1700"/>
            <w:shd w:fill="0F1722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Год 1</w:t>
            </w:r>
          </w:p>
        </w:tc>
        <w:tc>
          <w:tcPr>
            <w:tcW w:type="dxa" w:w="1700"/>
            <w:shd w:fill="0F1722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Год 2</w:t>
            </w:r>
          </w:p>
        </w:tc>
        <w:tc>
          <w:tcPr>
            <w:tcW w:type="dxa" w:w="1700"/>
            <w:shd w:fill="0F1722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Год 3</w:t>
            </w:r>
          </w:p>
        </w:tc>
        <w:tc>
          <w:tcPr>
            <w:tcW w:type="dxa" w:w="1700"/>
            <w:shd w:fill="0F1722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Год 4</w:t>
            </w:r>
          </w:p>
        </w:tc>
        <w:tc>
          <w:tcPr>
            <w:tcW w:type="dxa" w:w="1700"/>
            <w:shd w:fill="0F1722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Год 5</w:t>
            </w:r>
          </w:p>
        </w:tc>
        <w:tc>
          <w:tcPr>
            <w:tcW w:type="dxa" w:w="1700"/>
            <w:shd w:fill="0F1722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Резерв СД</w:t>
            </w:r>
          </w:p>
        </w:tc>
      </w:tr>
      <w:tr>
        <w:tc>
          <w:tcPr>
            <w:tcW w:type="dxa" w:w="1700"/>
            <w:shd w:fill="0A66D6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30"/>
              </w:rPr>
              <w:t>4%</w:t>
            </w:r>
          </w:p>
        </w:tc>
        <w:tc>
          <w:tcPr>
            <w:tcW w:type="dxa" w:w="1700"/>
            <w:shd w:fill="0A66D6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30"/>
              </w:rPr>
              <w:t>2%</w:t>
            </w:r>
          </w:p>
        </w:tc>
        <w:tc>
          <w:tcPr>
            <w:tcW w:type="dxa" w:w="1700"/>
            <w:shd w:fill="0A66D6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30"/>
              </w:rPr>
              <w:t>1,5%</w:t>
            </w:r>
          </w:p>
        </w:tc>
        <w:tc>
          <w:tcPr>
            <w:tcW w:type="dxa" w:w="1700"/>
            <w:shd w:fill="0A66D6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30"/>
              </w:rPr>
              <w:t>1%</w:t>
            </w:r>
          </w:p>
        </w:tc>
        <w:tc>
          <w:tcPr>
            <w:tcW w:type="dxa" w:w="1700"/>
            <w:shd w:fill="0A66D6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30"/>
              </w:rPr>
              <w:t>0,5%</w:t>
            </w:r>
          </w:p>
        </w:tc>
        <w:tc>
          <w:tcPr>
            <w:tcW w:type="dxa" w:w="1700"/>
            <w:shd w:fill="EEF3F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F1722"/>
                <w:sz w:val="30"/>
              </w:rPr>
              <w:t>1%</w:t>
            </w:r>
          </w:p>
        </w:tc>
      </w:tr>
    </w:tbl>
    <w:p>
      <w:pPr>
        <w:spacing w:after="140" w:line="269" w:lineRule="auto"/>
      </w:pPr>
      <w:r>
        <w:t>На старте программы 100 млн акций; 10% равны 10 млн условных единиц. До 9 млн единиц доступны для плановых выдач, 1 млн остаётся отдельным резервом СД для будущих критичных наймов. Из-за шага пакета 0,25 и потолка в одну годовую зарплату фактическая выдача может быть ниже предела.</w:t>
      </w:r>
    </w:p>
    <w:p>
      <w:pPr>
        <w:spacing w:after="140" w:line="269" w:lineRule="auto"/>
      </w:pPr>
      <w:r>
        <w:t>Новые раунды размывают единицы программы как обыкновенные акции. Они не восстанавливают и не расширяют исходный предел. За пять плановых раундов компания получает 4 млрд ₽.</w:t>
      </w:r>
    </w:p>
    <w:p>
      <w:pPr>
        <w:pStyle w:val="Heading2"/>
        <w:keepNext/>
      </w:pPr>
      <w:r>
        <w:t>Выбор, результат и удержание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A66D6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1 · Выбрать и заработать</w:t>
            </w:r>
          </w:p>
        </w:tc>
        <w:tc>
          <w:tcPr>
            <w:tcW w:type="dxa" w:w="5100"/>
            <w:shd w:fill="0F1722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2 · Удержание</w:t>
            </w:r>
          </w:p>
        </w:tc>
      </w:tr>
      <w:tr>
        <w:tc>
          <w:tcPr>
            <w:tcW w:type="dxa" w:w="5100"/>
            <w:shd w:fill="EEF3F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1722"/>
                <w:sz w:val="20"/>
              </w:rPr>
              <w:t>Пять направлений получают равные лимиты капитала. Команды выбирают людей ограниченными голосами, концентрация поддержки определяет пакет 0,25–1 годовой зарплаты с налогами и взносами компании, а после года применяется формула 60% компания + 40% личный результат.</w:t>
            </w:r>
          </w:p>
        </w:tc>
        <w:tc>
          <w:tcPr>
            <w:tcW w:type="dxa" w:w="5100"/>
            <w:shd w:fill="EEF3F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1722"/>
                <w:sz w:val="20"/>
              </w:rPr>
              <w:t>Каждый заработанный пакет закрепляется за 36 месяцев по 1/12 за полный квартал. При уходе незакреплённая часть прекращается по правилам плана.</w:t>
            </w:r>
          </w:p>
        </w:tc>
      </w:tr>
    </w:tbl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A66D6"/>
          <w:sz w:val="17"/>
        </w:rPr>
        <w:t>ДЛЯ ИНВЕСТОРОВ · РАСПРЕДЕЛЕНИЕ</w:t>
      </w:r>
    </w:p>
    <w:p>
      <w:pPr>
        <w:pStyle w:val="Heading1"/>
        <w:keepNext/>
      </w:pPr>
      <w:r>
        <w:t>Пять направлений самостоятельно распределяют равные части годового лимита</w:t>
      </w:r>
    </w:p>
    <w:p>
      <w:pPr>
        <w:spacing w:after="280"/>
      </w:pPr>
      <w:r>
        <w:rPr>
          <w:color w:val="5E6874"/>
          <w:sz w:val="28"/>
        </w:rPr>
        <w:t>Равными являются лимиты капитала, а не число мест.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tblHeader w:val="true"/>
        </w:trPr>
        <w:tc>
          <w:tcPr>
            <w:tcW w:type="dxa" w:w="5100"/>
            <w:shd w:fill="0F1722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Направление</w:t>
            </w:r>
          </w:p>
        </w:tc>
        <w:tc>
          <w:tcPr>
            <w:tcW w:type="dxa" w:w="5100"/>
            <w:shd w:fill="0F1722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Зона ответственности</w:t>
            </w:r>
          </w:p>
        </w:tc>
      </w:tr>
      <w:tr>
        <w:tc>
          <w:tcPr>
            <w:tcW w:type="dxa" w:w="5100"/>
            <w:shd w:fill="EEF3F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F1722"/>
                <w:sz w:val="21"/>
              </w:rPr>
              <w:t>Ключевые роли</w:t>
            </w:r>
          </w:p>
        </w:tc>
        <w:tc>
          <w:tcPr>
            <w:tcW w:type="dxa" w:w="5100"/>
            <w:shd w:fill="EEF3F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1722"/>
                <w:sz w:val="21"/>
              </w:rPr>
              <w:t>СЕО и CPO/CTO: сквозная ответственность за результат компании</w:t>
            </w:r>
          </w:p>
        </w:tc>
      </w:tr>
      <w:tr>
        <w:tc>
          <w:tcPr>
            <w:tcW w:type="dxa" w:w="5100"/>
            <w:shd w:fill="FFFFFF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F1722"/>
                <w:sz w:val="21"/>
              </w:rPr>
              <w:t>M&amp;A</w:t>
            </w:r>
          </w:p>
        </w:tc>
        <w:tc>
          <w:tcPr>
            <w:tcW w:type="dxa" w:w="5100"/>
            <w:shd w:fill="FFFFFF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1722"/>
                <w:sz w:val="21"/>
              </w:rPr>
              <w:t>сделки и интеграция, включая CFO и CLO</w:t>
            </w:r>
          </w:p>
        </w:tc>
      </w:tr>
      <w:tr>
        <w:tc>
          <w:tcPr>
            <w:tcW w:type="dxa" w:w="5100"/>
            <w:shd w:fill="EEF3F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F1722"/>
                <w:sz w:val="21"/>
              </w:rPr>
              <w:t>Коммерция</w:t>
            </w:r>
          </w:p>
        </w:tc>
        <w:tc>
          <w:tcPr>
            <w:tcW w:type="dxa" w:w="5100"/>
            <w:shd w:fill="EEF3F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1722"/>
                <w:sz w:val="21"/>
              </w:rPr>
              <w:t>новая выручка, удержание и развитие клиентской базы</w:t>
            </w:r>
          </w:p>
        </w:tc>
      </w:tr>
      <w:tr>
        <w:tc>
          <w:tcPr>
            <w:tcW w:type="dxa" w:w="5100"/>
            <w:shd w:fill="FFFFFF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F1722"/>
                <w:sz w:val="21"/>
              </w:rPr>
              <w:t>Маркетинг</w:t>
            </w:r>
          </w:p>
        </w:tc>
        <w:tc>
          <w:tcPr>
            <w:tcW w:type="dxa" w:w="5100"/>
            <w:shd w:fill="FFFFFF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1722"/>
                <w:sz w:val="21"/>
              </w:rPr>
              <w:t>спрос, позиционирование и вклад в коммерческий рост</w:t>
            </w:r>
          </w:p>
        </w:tc>
      </w:tr>
      <w:tr>
        <w:tc>
          <w:tcPr>
            <w:tcW w:type="dxa" w:w="5100"/>
            <w:shd w:fill="EEF3F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F1722"/>
                <w:sz w:val="21"/>
              </w:rPr>
              <w:t>Продуктовая команда</w:t>
            </w:r>
          </w:p>
        </w:tc>
        <w:tc>
          <w:tcPr>
            <w:tcW w:type="dxa" w:w="5100"/>
            <w:shd w:fill="EEF3F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1722"/>
                <w:sz w:val="21"/>
              </w:rPr>
              <w:t>продукт, технологии, ИИ и рост маржи бизнеса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10200"/>
            <w:shd w:fill="EEF3FA"/>
            <w:tcMar>
              <w:top w:w="180" w:type="dxa"/>
              <w:left w:w="200" w:type="dxa"/>
              <w:bottom w:w="180" w:type="dxa"/>
              <w:right w:w="200" w:type="dxa"/>
            </w:tcMar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color w:val="0F1722"/>
                <w:sz w:val="26"/>
              </w:rPr>
              <w:t>Ширина программы регулируется самими командами</w:t>
            </w:r>
          </w:p>
          <w:p>
            <w:pPr>
              <w:spacing w:after="0"/>
            </w:pPr>
            <w:r>
              <w:rPr>
                <w:rFonts w:ascii="Arial" w:hAnsi="Arial"/>
                <w:color w:val="5E6874"/>
                <w:sz w:val="21"/>
              </w:rPr>
              <w:t>Концентрированные голоса дают меньше крупных пакетов, распределённые — больше небольших. В одном направлении может быть один крупный пакет, в другом — несколько меньших. Общий предел неизменен: до 9% плановых выдач и 1% отдельного резерва СД. По ключевым ролям голосует общий круг представителей пяти направлений.</w:t>
            </w:r>
          </w:p>
        </w:tc>
      </w:tr>
    </w:tbl>
    <w:p>
      <w:pPr>
        <w:pStyle w:val="Heading2"/>
        <w:keepNext/>
      </w:pPr>
      <w:r>
        <w:t>Экономическое выравнивание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0F1722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Сценарий</w:t>
            </w:r>
          </w:p>
        </w:tc>
        <w:tc>
          <w:tcPr>
            <w:tcW w:type="dxa" w:w="3400"/>
            <w:shd w:fill="0F1722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Стоимость компании</w:t>
            </w:r>
          </w:p>
        </w:tc>
        <w:tc>
          <w:tcPr>
            <w:tcW w:type="dxa" w:w="3400"/>
            <w:shd w:fill="0F1722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Ориентир стоимости 9%</w:t>
            </w:r>
          </w:p>
        </w:tc>
      </w:tr>
      <w:tr>
        <w:tc>
          <w:tcPr>
            <w:tcW w:type="dxa" w:w="3400"/>
            <w:shd w:fill="EEF3F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F1722"/>
                <w:sz w:val="21"/>
              </w:rPr>
              <w:t>Базовый</w:t>
            </w:r>
          </w:p>
        </w:tc>
        <w:tc>
          <w:tcPr>
            <w:tcW w:type="dxa" w:w="3400"/>
            <w:shd w:fill="EEF3F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1722"/>
                <w:sz w:val="21"/>
              </w:rPr>
              <w:t>16 млрд ₽</w:t>
            </w:r>
          </w:p>
        </w:tc>
        <w:tc>
          <w:tcPr>
            <w:tcW w:type="dxa" w:w="3400"/>
            <w:shd w:fill="EEF3F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1722"/>
                <w:sz w:val="21"/>
              </w:rPr>
              <w:t>≈ 1,03 млрд ₽</w:t>
            </w:r>
          </w:p>
        </w:tc>
      </w:tr>
      <w:tr>
        <w:tc>
          <w:tcPr>
            <w:tcW w:type="dxa" w:w="3400"/>
            <w:shd w:fill="FFFFFF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F1722"/>
                <w:sz w:val="21"/>
              </w:rPr>
              <w:t>Осторожный</w:t>
            </w:r>
          </w:p>
        </w:tc>
        <w:tc>
          <w:tcPr>
            <w:tcW w:type="dxa" w:w="3400"/>
            <w:shd w:fill="FFFFFF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1722"/>
                <w:sz w:val="21"/>
              </w:rPr>
              <w:t>8 млрд ₽</w:t>
            </w:r>
          </w:p>
        </w:tc>
        <w:tc>
          <w:tcPr>
            <w:tcW w:type="dxa" w:w="3400"/>
            <w:shd w:fill="FFFFFF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1722"/>
                <w:sz w:val="21"/>
              </w:rPr>
              <w:t>≈ 409 млн ₽</w:t>
            </w:r>
          </w:p>
        </w:tc>
      </w:tr>
    </w:tbl>
    <w:p>
      <w:pPr>
        <w:spacing w:after="140" w:line="269" w:lineRule="auto"/>
      </w:pPr>
      <w:r>
        <w:t>Программа дорожает только вместе с компанией. Значимый результат команды возникает только при значимом результате инвесторов.</w:t>
      </w:r>
    </w:p>
    <w:p>
      <w:pPr>
        <w:pStyle w:val="Heading2"/>
        <w:keepNext/>
      </w:pPr>
      <w:r>
        <w:t>Контур управления</w:t>
      </w:r>
    </w:p>
    <w:p>
      <w:pPr>
        <w:pStyle w:val="ListBullet"/>
        <w:spacing w:after="80"/>
      </w:pPr>
      <w:r>
        <w:rPr>
          <w:b/>
        </w:rPr>
        <w:t xml:space="preserve">Единые правила. </w:t>
      </w:r>
      <w:r>
        <w:t>СД утверждает механику, показатели и общий предел программы.</w:t>
      </w:r>
    </w:p>
    <w:p>
      <w:pPr>
        <w:pStyle w:val="ListBullet"/>
        <w:spacing w:after="80"/>
      </w:pPr>
      <w:r>
        <w:rPr>
          <w:b/>
        </w:rPr>
        <w:t xml:space="preserve">Каждый год. </w:t>
      </w:r>
      <w:r>
        <w:t>команды заново распределяют ограниченные голоса, а формула определяет участников и пакеты; автоматического права на следующий пакет нет.</w:t>
      </w:r>
    </w:p>
    <w:p>
      <w:pPr>
        <w:pStyle w:val="ListBullet"/>
        <w:spacing w:after="80"/>
      </w:pPr>
      <w:r>
        <w:rPr>
          <w:b/>
        </w:rPr>
        <w:t xml:space="preserve">После выбора. </w:t>
      </w:r>
      <w:r>
        <w:t>формула 60 / 40 определяет заработанную часть, а трёхлетний срок закрепления удерживает участника.</w:t>
      </w:r>
    </w:p>
    <w:sectPr w:rsidR="00FC693F" w:rsidRPr="0006063C" w:rsidSect="00034616">
      <w:footerReference w:type="default" r:id="rId9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E6874"/>
        <w:sz w:val="16"/>
      </w:rPr>
      <w:t>Aivel · программа долгосрочной мотивации · публичное описание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F17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F1722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F172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0F17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Aivel — программа долгосрочной мотивации</dc:title>
  <dc:subject>Публичное описание программы LTI для команды и инвесторов</dc:subject>
  <dc:creator>Aivel</dc:creator>
  <cp:keywords/>
  <dc:description>generated by python-docx</dc:description>
  <cp:lastModifiedBy>Aivel</cp:lastModifiedBy>
  <cp:revision>1</cp:revision>
  <dcterms:created xsi:type="dcterms:W3CDTF">2013-12-23T23:15:00Z</dcterms:created>
  <dcterms:modified xsi:type="dcterms:W3CDTF">2013-12-23T23:15:00Z</dcterms:modified>
  <cp:category/>
</cp:coreProperties>
</file>