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</w:pPr>
      <w:r>
        <w:t>Концепция долгосрочной программы</w:t>
        <w:br/>
        <w:t>участия команды в стоимости компании</w:t>
      </w:r>
    </w:p>
    <w:p>
      <w:pPr>
        <w:pStyle w:val="Subtitle"/>
      </w:pPr>
      <w:r>
        <w:t>Синхронизированная версия: 9% плановых выдач + 1% резерв Совета директоров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>
              <w:rPr>
                <w:b/>
                <w:color w:val="17365D"/>
              </w:rPr>
              <w:t>Главная логика</w:t>
            </w:r>
            <w:r>
              <w:br/>
              <w:t>Сотрудник заранее знает число единиц, за которое работает в текущем году. Совет директоров подтверждает результат после года и заново решает вопрос о следующем пакете. Плановые выдачи ограничены 9 млн исходных единиц, ещё 1 млн остаётся отдельным резервом Совета директоров.</w:t>
            </w:r>
          </w:p>
        </w:tc>
      </w:tr>
    </w:tbl>
    <w:p>
      <w:pPr>
        <w:spacing w:after="0"/>
      </w:pPr>
    </w:p>
    <w:p>
      <w:pPr>
        <w:pStyle w:val="Heading1"/>
      </w:pPr>
      <w:r>
        <w:t>Каркас программы — в восьми правилах</w:t>
      </w:r>
    </w:p>
    <w:p>
      <w:pPr>
        <w:ind w:left="397" w:hanging="397"/>
        <w:widowControl/>
      </w:pPr>
      <w:r>
        <w:rPr>
          <w:b/>
          <w:color w:val="2F5597"/>
        </w:rPr>
        <w:t xml:space="preserve">1. </w:t>
      </w:r>
      <w:r>
        <w:rPr>
          <w:b/>
        </w:rPr>
        <w:t>Два разных вида вознаграждения.</w:t>
      </w:r>
      <w:r>
        <w:t xml:space="preserve"> Денежная премия отвечает за текущий результат. Долгосрочная программа участия в стоимости компании выдаётся дополнительно и связывает личный результат с ростом стоимости компании.</w:t>
      </w:r>
    </w:p>
    <w:p>
      <w:pPr>
        <w:ind w:left="397" w:hanging="397"/>
        <w:widowControl/>
      </w:pPr>
      <w:r>
        <w:rPr>
          <w:b/>
          <w:color w:val="2F5597"/>
        </w:rPr>
        <w:t xml:space="preserve">2. </w:t>
      </w:r>
      <w:r>
        <w:rPr>
          <w:b/>
        </w:rPr>
        <w:t>Сначала фиксируем пакет, потом начинаем годовой забег.</w:t>
      </w:r>
      <w:r>
        <w:t xml:space="preserve"> До начала годового цикла Совет директоров поимённо утверждает участника, множитель пакета, цену единицы и целевое число единиц. Рост оценки в течение года не уменьшает это число.</w:t>
      </w:r>
    </w:p>
    <w:p>
      <w:pPr>
        <w:ind w:left="397" w:hanging="397"/>
        <w:widowControl/>
      </w:pPr>
      <w:r>
        <w:rPr>
          <w:b/>
          <w:color w:val="2F5597"/>
        </w:rPr>
        <w:t xml:space="preserve">3. </w:t>
      </w:r>
      <w:r>
        <w:rPr>
          <w:b/>
        </w:rPr>
        <w:t>Следующий пакет не возникает автоматически.</w:t>
      </w:r>
      <w:r>
        <w:t xml:space="preserve"> Решение принимается заново в начале каждого года. Прошлогоднее участие не гарантирует новый пакет и не гарантирует прежний размер.</w:t>
      </w:r>
    </w:p>
    <w:p>
      <w:pPr>
        <w:ind w:left="397" w:hanging="397"/>
        <w:widowControl/>
      </w:pPr>
      <w:r>
        <w:rPr>
          <w:b/>
          <w:color w:val="2F5597"/>
        </w:rPr>
        <w:t xml:space="preserve">4. </w:t>
      </w:r>
      <w:r>
        <w:rPr>
          <w:b/>
        </w:rPr>
        <w:t>Размер считается от полной годовой стоимости вознаграждения.</w:t>
      </w:r>
      <w:r>
        <w:t xml:space="preserve"> Основа равна месячному окладу до удержаний × 12 × 1,15. Множители — 0,25 / 0,50 / 0,75 / 1,00; для старших ролей минимум 0,50, для младших минимум 0,25.</w:t>
      </w:r>
    </w:p>
    <w:p>
      <w:pPr>
        <w:ind w:left="397" w:hanging="397"/>
        <w:widowControl/>
      </w:pPr>
      <w:r>
        <w:rPr>
          <w:b/>
          <w:color w:val="2F5597"/>
        </w:rPr>
        <w:t xml:space="preserve">5. </w:t>
      </w:r>
      <w:r>
        <w:rPr>
          <w:b/>
        </w:rPr>
        <w:t>Результат подтверждается после завершения года.</w:t>
      </w:r>
      <w:r>
        <w:t xml:space="preserve"> На 60% он зависит от целей компании и на 40% — от личных целей. Подтверждённое число единиц не может превысить целевое. В расчётной модели результат каждого участника равен 100%.</w:t>
      </w:r>
    </w:p>
    <w:p>
      <w:pPr>
        <w:ind w:left="397" w:hanging="397"/>
        <w:widowControl/>
      </w:pPr>
      <w:r>
        <w:rPr>
          <w:b/>
          <w:color w:val="2F5597"/>
        </w:rPr>
        <w:t xml:space="preserve">6. </w:t>
      </w:r>
      <w:r>
        <w:rPr>
          <w:b/>
        </w:rPr>
        <w:t>Каждый подтверждённый пакет закрепляется отдельно за 36 месяцев.</w:t>
      </w:r>
      <w:r>
        <w:t xml:space="preserve"> В конце каждого полного квартала закрепляется 1/12 пакета. Новый пакет может начаться, пока права по предыдущему ещё продолжают закрепляться.</w:t>
      </w:r>
    </w:p>
    <w:p>
      <w:pPr>
        <w:ind w:left="397" w:hanging="397"/>
        <w:widowControl/>
      </w:pPr>
      <w:r>
        <w:rPr>
          <w:b/>
          <w:color w:val="2F5597"/>
        </w:rPr>
        <w:t xml:space="preserve">7. </w:t>
      </w:r>
      <w:r>
        <w:rPr>
          <w:b/>
        </w:rPr>
        <w:t>Плановые выдачи — 9%, резерв Совета директоров — 1%.</w:t>
      </w:r>
      <w:r>
        <w:t xml:space="preserve"> Годовые пределы составляют 4 / 2 / 2 / 1 / 0 млн исходных единиц. Ещё 1 млн единиц не распределяется автоматически и предназначен для будущих критичных назначений.</w:t>
      </w:r>
    </w:p>
    <w:p>
      <w:pPr>
        <w:ind w:left="397" w:hanging="397"/>
        <w:widowControl/>
      </w:pPr>
      <w:r>
        <w:rPr>
          <w:b/>
          <w:color w:val="2F5597"/>
        </w:rPr>
        <w:t xml:space="preserve">8. </w:t>
      </w:r>
      <w:r>
        <w:rPr>
          <w:b/>
        </w:rPr>
        <w:t>Общий предел никогда не превышает 10 млн исходных единиц.</w:t>
      </w:r>
      <w:r>
        <w:t xml:space="preserve"> Новые инвестиционные раунды размывают прежних владельцев и весь лимит программы одинаково. Автоматического восстановления процента после раундов нет.</w:t>
      </w:r>
    </w:p>
    <w:p>
      <w:pPr>
        <w:pStyle w:val="Heading1"/>
      </w:pPr>
      <w:r>
        <w:t>Как работает один год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247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Момент</w:t>
            </w:r>
          </w:p>
        </w:tc>
        <w:tc>
          <w:tcPr>
            <w:tcW w:type="dxa" w:w="2948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Решение</w:t>
            </w:r>
          </w:p>
        </w:tc>
        <w:tc>
          <w:tcPr>
            <w:tcW w:type="dxa" w:w="283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Что видит сотрудник</w:t>
            </w:r>
          </w:p>
        </w:tc>
        <w:tc>
          <w:tcPr>
            <w:tcW w:type="dxa" w:w="283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Что контролирует СД</w:t>
            </w:r>
          </w:p>
        </w:tc>
      </w:tr>
      <w:t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sz w:val="18"/>
              </w:rPr>
              <w:t>Начало года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Утверждаются участник, множитель, цена и целевое число единиц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Заранее знает, за какой пакет работает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Проверяет годовой предел и свободный остаток</w:t>
            </w:r>
          </w:p>
        </w:tc>
      </w:tr>
      <w:t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rPr>
                <w:sz w:val="18"/>
              </w:rPr>
              <w:t>В течение года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Число целевых единиц не меняется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Рост стоимости повышает возможную ценность пакета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Следит за целями компании и участника</w:t>
            </w:r>
          </w:p>
        </w:tc>
      </w:tr>
      <w:t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sz w:val="18"/>
              </w:rPr>
              <w:t>После года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Подтверждается коэффициент результата и заработанное число единиц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Получает итог по завершённому циклу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Освобождает незаработанную часть</w:t>
            </w:r>
          </w:p>
        </w:tc>
      </w:tr>
      <w:t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rPr>
                <w:sz w:val="18"/>
              </w:rPr>
              <w:t>Следующие 36 месяцев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Права закрепляются по 1/12 за полный квартал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Сохраняет уже закреплённую часть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Возвращает незакреплённую часть при уходе по правилам программы</w:t>
            </w:r>
          </w:p>
        </w:tc>
      </w:tr>
      <w:tr>
        <w:tc>
          <w:tcPr>
            <w:tcW w:type="dxa" w:w="124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sz w:val="18"/>
              </w:rPr>
              <w:t>Начало следующего года</w:t>
            </w:r>
          </w:p>
        </w:tc>
        <w:tc>
          <w:tcPr>
            <w:tcW w:type="dxa" w:w="294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Новое поимённое решение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Нет автоматического права на новый пакет</w:t>
            </w:r>
          </w:p>
        </w:tc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Может увеличить, уменьшить или не выдать новый пакет</w:t>
            </w:r>
          </w:p>
        </w:tc>
      </w:tr>
    </w:tbl>
    <w:p>
      <w:pPr>
        <w:spacing w:after="0"/>
      </w:pPr>
    </w:p>
    <w:p>
      <w:pPr>
        <w:pStyle w:val="Heading1"/>
      </w:pPr>
      <w:r>
        <w:t>Формулы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D9EAF7"/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>
              <w:rPr>
                <w:b/>
                <w:color w:val="17365D"/>
              </w:rPr>
              <w:t>1. Полная годовая стоимость фиксированного вознаграждения</w:t>
            </w:r>
            <w:r>
              <w:br/>
              <w:t>Месячный оклад до удержаний × 12 × 1,15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D9EAF7"/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>
              <w:rPr>
                <w:b/>
                <w:color w:val="17365D"/>
              </w:rPr>
              <w:t>2. Целевое число единиц в начале года</w:t>
            </w:r>
            <w:r>
              <w:br/>
              <w:t>Полная годовая стоимость × множитель пакета ÷ цена единицы на начало года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D9EAF7"/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>
              <w:rPr>
                <w:b/>
                <w:color w:val="17365D"/>
              </w:rPr>
              <w:t>3. Подтверждённое число единиц после года</w:t>
            </w:r>
            <w:r>
              <w:br/>
              <w:t>Целевое число единиц × меньшая из двух величин: 100% или (60% × результат компании + 40% × личный результат)</w:t>
            </w:r>
          </w:p>
        </w:tc>
      </w:tr>
    </w:tbl>
    <w:p>
      <w:pPr>
        <w:spacing w:after="0"/>
      </w:pPr>
    </w:p>
    <w:p>
      <w:pPr>
        <w:widowControl/>
      </w:pPr>
      <w:r>
        <w:rPr>
          <w:i/>
          <w:color w:val="7F7F7F"/>
        </w:rPr>
        <w:t>Цена и целевое число единиц после начала года не пересчитываются по более высокой оценке. Иначе сотрудник получил бы меньше единиц именно из-за роста, который помог создать.</w:t>
      </w:r>
    </w:p>
    <w:p>
      <w:pPr>
        <w:pStyle w:val="Heading1"/>
      </w:pPr>
      <w:r>
        <w:t>9% плановых выдач + 1% резерв Совета директоров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701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Цикл</w:t>
            </w:r>
          </w:p>
        </w:tc>
        <w:tc>
          <w:tcPr>
            <w:tcW w:type="dxa" w:w="1871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Плановый предел</w:t>
            </w:r>
          </w:p>
        </w:tc>
        <w:tc>
          <w:tcPr>
            <w:tcW w:type="dxa" w:w="232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Накопленный предел</w:t>
            </w:r>
          </w:p>
        </w:tc>
        <w:tc>
          <w:tcPr>
            <w:tcW w:type="dxa" w:w="368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Назначение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sz w:val="18"/>
              </w:rPr>
              <w:t>Y1 / 2027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4 000 000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4 000 000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Плановые пакеты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rPr>
                <w:sz w:val="18"/>
              </w:rPr>
              <w:t>Y2 / 2028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2 000 000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6 000 000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Плановые пакеты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sz w:val="18"/>
              </w:rPr>
              <w:t>Y3 / 2029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2 000 000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8 000 000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Плановые пакеты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rPr>
                <w:sz w:val="18"/>
              </w:rPr>
              <w:t>Y4 / 2030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1 000 000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9 000 000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Плановые пакеты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sz w:val="18"/>
              </w:rPr>
              <w:t>Y5 / 2031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9 000 000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Автоматических плановых выдач нет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rPr>
                <w:sz w:val="18"/>
              </w:rPr>
              <w:t>Резерв СД</w:t>
            </w:r>
          </w:p>
        </w:tc>
        <w:tc>
          <w:tcPr>
            <w:tcW w:type="dxa" w:w="187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1 000 000 ед.</w:t>
            </w:r>
          </w:p>
        </w:tc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Общий предел 10 000 000 ед.</w:t>
            </w:r>
          </w:p>
        </w:tc>
        <w:tc>
          <w:tcPr>
            <w:tcW w:type="dxa" w:w="368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Будущие критичные назначения</w:t>
            </w:r>
          </w:p>
        </w:tc>
      </w:tr>
    </w:tbl>
    <w:p>
      <w:pPr>
        <w:spacing w:after="0"/>
      </w:pP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Проценты считаются от исходной полностью разводнённой базы 100 млн единиц на 01.01.2027.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После инвестиционных раундов 1 млн единиц резерва уже не равен 1% капитала на шестой год: расчётная доля снижается примерно до 0,72% в базовом и 0,57% в осторожном варианте.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Количество участников не увеличивает максимальное размытие: предел определяется числом единиц, а не числом фамилий.</w:t>
      </w:r>
    </w:p>
    <w:p>
      <w:pPr>
        <w:pStyle w:val="Heading1"/>
      </w:pPr>
      <w:r>
        <w:t>Оценка, инвестиции и стоимость единицы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464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493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sz w:val="18"/>
              </w:rPr>
              <w:t>Начало программы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1 января 2027 года</w:t>
            </w:r>
          </w:p>
        </w:tc>
      </w:tr>
      <w:t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rPr>
                <w:sz w:val="18"/>
              </w:rPr>
              <w:t>Оценка после вложения на старте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1,6 млрд ₽</w:t>
            </w:r>
          </w:p>
        </w:tc>
      </w:tr>
      <w:t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sz w:val="18"/>
              </w:rPr>
              <w:t>Исходная полностью разводнённая база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100 млн единиц</w:t>
            </w:r>
          </w:p>
        </w:tc>
      </w:tr>
      <w:t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rPr>
                <w:sz w:val="18"/>
              </w:rPr>
              <w:t>Цена единицы Y1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16 ₽</w:t>
            </w:r>
          </w:p>
        </w:tc>
      </w:tr>
      <w:t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sz w:val="18"/>
              </w:rPr>
              <w:t>Деньги в компанию за раунды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4 млрд ₽</w:t>
            </w:r>
          </w:p>
        </w:tc>
      </w:tr>
      <w:t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rPr>
                <w:sz w:val="18"/>
              </w:rPr>
              <w:t>Целевая оценка Y6 — базовый вариант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16 млрд ₽</w:t>
            </w:r>
          </w:p>
        </w:tc>
      </w:tr>
      <w:t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sz w:val="18"/>
              </w:rPr>
              <w:t>Целевая оценка Y6 — осторожный вариант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8 млрд ₽</w:t>
            </w:r>
          </w:p>
        </w:tc>
      </w:tr>
      <w:tr>
        <w:tc>
          <w:tcPr>
            <w:tcW w:type="dxa" w:w="4649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rPr>
                <w:sz w:val="18"/>
              </w:rPr>
              <w:t>Участники модели</w:t>
            </w:r>
          </w:p>
        </w:tc>
        <w:tc>
          <w:tcPr>
            <w:tcW w:type="dxa" w:w="4932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Не более 20; никто не уходит; результат 100%</w:t>
            </w:r>
          </w:p>
        </w:tc>
      </w:tr>
    </w:tbl>
    <w:p>
      <w:pPr>
        <w:spacing w:after="0"/>
      </w:pPr>
    </w:p>
    <w:p>
      <w:pPr>
        <w:widowControl/>
      </w:pPr>
      <w:r>
        <w:rPr>
          <w:i w:val="0"/>
        </w:rPr>
        <w:t>Для первого цикла используется цена завершённого открывающего раунда: 1,6 млрд ₽ ÷ 100 млн единиц = 16 ₽. Для следующих циклов цена фиксируется на начало года исходя из утверждённой стоимости капитала и полностью разводнённой базы на эту дату. Новые единицы инвесторов после вложения размывают все существующие единицы одинаково.</w:t>
      </w:r>
    </w:p>
    <w:p>
      <w:pPr>
        <w:spacing w:after="0"/>
      </w:pPr>
    </w:p>
    <w:p>
      <w:pPr>
        <w:pStyle w:val="Heading1"/>
      </w:pPr>
      <w:r>
        <w:t>Что показывает синхронизированный калькулятор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419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Метрика</w:t>
            </w:r>
          </w:p>
        </w:tc>
        <w:tc>
          <w:tcPr>
            <w:tcW w:type="dxa" w:w="2721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Базовый вариант</w:t>
            </w:r>
          </w:p>
        </w:tc>
        <w:tc>
          <w:tcPr>
            <w:tcW w:type="dxa" w:w="2721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Осторожный вариант</w:t>
            </w:r>
          </w:p>
        </w:tc>
      </w:tr>
      <w:t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sz w:val="18"/>
              </w:rPr>
              <w:t>Оценка Y6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16 млрд ₽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8 млрд ₽</w:t>
            </w:r>
          </w:p>
        </w:tc>
      </w:tr>
      <w:t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rPr>
                <w:sz w:val="18"/>
              </w:rPr>
              <w:t>Выдано плановых единиц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8,614 млн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8,756 млн</w:t>
            </w:r>
          </w:p>
        </w:tc>
      </w:tr>
      <w:t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sz w:val="18"/>
              </w:rPr>
              <w:t>Использовано из доступных 9%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95,7%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97,3%</w:t>
            </w:r>
          </w:p>
        </w:tc>
      </w:tr>
      <w:t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r>
              <w:rPr>
                <w:sz w:val="18"/>
              </w:rPr>
              <w:t>Получатели по циклам Y1–Y4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20 / 20 / 20 / 20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shd w:fill="EAF2F8"/>
          </w:tcPr>
          <w:p>
            <w:pPr>
              <w:jc w:val="left"/>
            </w:pPr>
            <w:r>
              <w:rPr>
                <w:sz w:val="18"/>
              </w:rPr>
              <w:t>20 / 16 / 12 / 7</w:t>
            </w:r>
          </w:p>
        </w:tc>
      </w:tr>
      <w:t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sz w:val="18"/>
              </w:rPr>
              <w:t>Получили хотя бы один пакет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20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20</w:t>
            </w:r>
          </w:p>
        </w:tc>
      </w:tr>
      <w:t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sz w:val="18"/>
              </w:rPr>
              <w:t>Медианная полная стоимость Y6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37,8 млн ₽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10,3 млн ₽</w:t>
            </w:r>
          </w:p>
        </w:tc>
      </w:tr>
      <w:tr>
        <w:tc>
          <w:tcPr>
            <w:tcW w:type="dxa" w:w="4195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sz w:val="18"/>
              </w:rPr>
              <w:t>Полная стоимость всех пакетов Y6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989,9 млн ₽</w:t>
            </w:r>
          </w:p>
        </w:tc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left"/>
            </w:pPr>
            <w:r>
              <w:rPr>
                <w:sz w:val="18"/>
              </w:rPr>
              <w:t>397,7 млн ₽</w:t>
            </w:r>
          </w:p>
        </w:tc>
      </w:tr>
    </w:tbl>
    <w:p>
      <w:pPr>
        <w:spacing w:after="0"/>
      </w:pPr>
    </w:p>
    <w:p>
      <w:pPr>
        <w:widowControl/>
      </w:pPr>
      <w:r>
        <w:rPr>
          <w:i/>
          <w:color w:val="7F7F7F"/>
        </w:rPr>
        <w:t>Полная стоимость Y6 показывает стоимость всех подтверждённых единиц, как если бы они полностью закрепились. Это не означает фактическую выплату к этой дате.</w:t>
      </w:r>
    </w:p>
    <w:p>
      <w:pPr>
        <w:pStyle w:val="Heading1"/>
      </w:pPr>
      <w:r>
        <w:t>Закрепление прав, выплаты и уход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Каждый подтверждённый годовой пакет живёт отдельно и закрепляется по 1/12 за каждый полный квартал в течение 36 месяцев.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До появления реальных акций расчётные единицы являются договорным правом: они не дают права голоса и не являются долей в ООО.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При дивидендах или продаже компании в расчёте участвует только закрепившаяся часть, если иное прямо не установлено утверждёнными правилами.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При добросовестном уходе закрепившаяся часть сохраняется, незакрепившаяся возвращается в свободный остаток программы.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Последствия серьёзного нарушения должны быть заранее и узко определены в утверждённых документах, а не решаться задним числом.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Критичный найм в середине года возможен только отдельным решением Совета директоров из его 1 млн резервных единиц.</w:t>
      </w:r>
    </w:p>
    <w:p>
      <w:pPr>
        <w:pStyle w:val="Heading1"/>
      </w:pPr>
      <w:r>
        <w:t>Основные риски расчётной стоимости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Фактическая оценка компании может оказаться ниже сценарной.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Инвестиционные раунды уменьшают процентную долю всех прежних единиц.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Продажа компании, дивиденды или другое событие выплаты не гарантированы.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Долг, расходы сделки, налоги и особые права инвесторов могут уменьшить сумму, приходящуюся на обыкновенные акции.</w:t>
      </w:r>
    </w:p>
    <w:p>
      <w:pPr>
        <w:ind w:left="255" w:hanging="142"/>
        <w:widowControl/>
      </w:pPr>
      <w:r>
        <w:rPr>
          <w:b/>
          <w:color w:val="2F5597"/>
        </w:rPr>
        <w:t xml:space="preserve">• </w:t>
      </w:r>
      <w:r>
        <w:t>Расчётная полная стоимость не равна закрепившейся части и не равна сумме после налогов.</w:t>
      </w:r>
    </w:p>
    <w:p>
      <w:r>
        <w:br w:type="page"/>
      </w:r>
    </w:p>
    <w:p>
      <w:pPr>
        <w:pStyle w:val="Heading1"/>
      </w:pPr>
      <w:r>
        <w:t>Приложение 1. История экранов для команды</w:t>
      </w:r>
    </w:p>
    <w:p>
      <w:pPr>
        <w:pStyle w:val="Heading2"/>
      </w:pPr>
      <w:r>
        <w:t>1. Мы растим стоимость — и разделяем результат</w:t>
      </w:r>
    </w:p>
    <w:p>
      <w:pPr>
        <w:widowControl/>
      </w:pPr>
      <w:r>
        <w:rPr>
          <w:i w:val="0"/>
        </w:rPr>
        <w:t>Ваш вклад в долгий рост компании может стать значительным личным финансовым результатом.</w:t>
      </w:r>
    </w:p>
    <w:p>
      <w:pPr>
        <w:pStyle w:val="Heading2"/>
      </w:pPr>
      <w:r>
        <w:t>2. В начале года вы заранее знаете, за какой пакет работаете</w:t>
      </w:r>
    </w:p>
    <w:p>
      <w:pPr>
        <w:widowControl/>
      </w:pPr>
      <w:r>
        <w:rPr>
          <w:i w:val="0"/>
        </w:rPr>
        <w:t>До начала цикла СД фиксирует участие, размер пакета, цену и целевое число единиц. Рост стоимости в течение года работает в пользу сотрудника.</w:t>
      </w:r>
    </w:p>
    <w:p>
      <w:pPr>
        <w:pStyle w:val="Heading2"/>
      </w:pPr>
      <w:r>
        <w:t>3. Новый пакет нужно заново заслужить — автоматического продления нет</w:t>
      </w:r>
    </w:p>
    <w:p>
      <w:pPr>
        <w:widowControl/>
      </w:pPr>
      <w:r>
        <w:rPr>
          <w:i w:val="0"/>
        </w:rPr>
        <w:t>Результат текущего года подтверждает текущий пакет и влияет на новое решение. Следующий пакет может быть больше, меньше или равен нулю.</w:t>
      </w:r>
    </w:p>
    <w:p>
      <w:pPr>
        <w:pStyle w:val="Heading2"/>
      </w:pPr>
      <w:r>
        <w:t>4. Каждый заработанный пакет закрепляется отдельно за 36 месяцев</w:t>
      </w:r>
    </w:p>
    <w:p>
      <w:pPr>
        <w:widowControl/>
      </w:pPr>
      <w:r>
        <w:rPr>
          <w:i w:val="0"/>
        </w:rPr>
        <w:t>По 1/12 за полный квартал. Чтобы полностью закрепить уже заработанное, нужно оставаться в компании.</w:t>
      </w:r>
    </w:p>
    <w:p>
      <w:pPr>
        <w:pStyle w:val="Heading2"/>
      </w:pPr>
      <w:r>
        <w:t>5. Пакеты разных лет складываются в один результат к шестому году</w:t>
      </w:r>
    </w:p>
    <w:p>
      <w:pPr>
        <w:widowControl/>
      </w:pPr>
      <w:r>
        <w:t>Калькулятор показывает число получателей, расход 9% планового лимита, медианную полную стоимость и общую стоимость всех пакетов.</w:t>
      </w:r>
    </w:p>
    <w:p>
      <w:pPr>
        <w:pStyle w:val="Heading2"/>
      </w:pPr>
      <w:r>
        <w:t>6. Чтобы единицы стали деньгами, нужны рост и событие выплаты</w:t>
      </w:r>
    </w:p>
    <w:p>
      <w:pPr>
        <w:widowControl/>
      </w:pPr>
      <w:r>
        <w:rPr>
          <w:i w:val="0"/>
        </w:rPr>
        <w:t>Оценка и размытие меняют стоимость; фактические деньги появляются только при дивидендах, продаже или другом утверждённом событии.</w:t>
      </w:r>
    </w:p>
    <w:p>
      <w:pPr>
        <w:pStyle w:val="Heading2"/>
      </w:pPr>
      <w:r>
        <w:t>7. Если ситуация меняется, заранее известно, что сохраняется</w:t>
      </w:r>
    </w:p>
    <w:p>
      <w:pPr>
        <w:widowControl/>
      </w:pPr>
      <w:r>
        <w:rPr>
          <w:i w:val="0"/>
        </w:rPr>
        <w:t>Правила ухода, серьёзного нарушения, критичного найма и продажи компании определяются до события.</w:t>
      </w:r>
    </w:p>
    <w:p>
      <w:r>
        <w:br w:type="page"/>
      </w:r>
    </w:p>
    <w:p>
      <w:pPr>
        <w:pStyle w:val="Heading1"/>
      </w:pPr>
      <w:r>
        <w:t>Приложение 2. История экранов для инвесторов</w:t>
      </w:r>
    </w:p>
    <w:p>
      <w:pPr>
        <w:pStyle w:val="Heading2"/>
      </w:pPr>
      <w:r>
        <w:t>1. Привлекать сильных. Удерживать лучших. Не выходить за 10%.</w:t>
      </w:r>
    </w:p>
    <w:p>
      <w:pPr>
        <w:widowControl/>
      </w:pPr>
      <w:r>
        <w:rPr>
          <w:i w:val="0"/>
        </w:rPr>
        <w:t>Программа создаёт общий экономический интерес у критичных создателей стоимости и заранее ограничивает максимальное размытие.</w:t>
      </w:r>
    </w:p>
    <w:p>
      <w:pPr>
        <w:pStyle w:val="Heading2"/>
      </w:pPr>
      <w:r>
        <w:t>2. Пакет согласуется до начала года — результат подтверждается после</w:t>
      </w:r>
    </w:p>
    <w:p>
      <w:pPr>
        <w:widowControl/>
      </w:pPr>
      <w:r>
        <w:rPr>
          <w:i w:val="0"/>
        </w:rPr>
        <w:t>СД проверяет лимит, утверждает множитель, цену и целевое число единиц; сотрудник создаёт стоимость; после года СД подтверждает результат; права закрепляются 36 месяцев; следующий пакет утверждается заново.</w:t>
      </w:r>
    </w:p>
    <w:p>
      <w:pPr>
        <w:pStyle w:val="Heading2"/>
      </w:pPr>
      <w:r>
        <w:t>3. Пакеты получают создатели стоимости, а не клуб приближённых</w:t>
      </w:r>
    </w:p>
    <w:p>
      <w:pPr>
        <w:widowControl/>
      </w:pPr>
      <w:r>
        <w:rPr>
          <w:i w:val="0"/>
        </w:rPr>
        <w:t>До 20 участников охватывают покупки и интеграцию компаний, продукт и искусственный интеллект, 1С, операции, удержание и развитие клиентской базы, самостоятельные направления прибыли. Ежегодный переотбор и пересекающиеся сроки закрепления создают постоянное удержание без автоматической раздачи.</w:t>
      </w:r>
    </w:p>
    <w:p>
      <w:pPr>
        <w:pStyle w:val="Heading2"/>
      </w:pPr>
      <w:r>
        <w:t>4. 9% — плановые выдачи. 1% — резерв СД. Больше 10% не выдаём.</w:t>
      </w:r>
    </w:p>
    <w:p>
      <w:pPr>
        <w:widowControl/>
      </w:pPr>
      <w:r>
        <w:rPr>
          <w:i w:val="0"/>
        </w:rPr>
        <w:t>4 / 2 / 2 / 1 млн исходных единиц идут на плановые пакеты. 1 млн остаётся на будущие критичные назначения. Раунды не восстанавливают процент лимита.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  <w:vAlign w:val="center"/>
          </w:tcPr>
          <w:p>
            <w:r>
              <w:rPr>
                <w:b/>
                <w:color w:val="17365D"/>
              </w:rPr>
              <w:t>Центральный экран для инвестора</w:t>
            </w:r>
            <w:r>
              <w:br/>
              <w:t>Второй экран должен быть не лозунгом, а простой схемой: начало года → фиксируем пакет и число единиц → год работы → подтверждаем результат → 36 месяцев закрепления → новое решение.</w:t>
            </w:r>
          </w:p>
        </w:tc>
      </w:tr>
    </w:tbl>
    <w:p>
      <w:pPr>
        <w:spacing w:after="0"/>
      </w:pPr>
    </w:p>
    <w:p>
      <w:pPr>
        <w:pStyle w:val="Heading1"/>
      </w:pPr>
      <w:r>
        <w:t>Статус документа</w:t>
      </w:r>
    </w:p>
    <w:p>
      <w:pPr>
        <w:widowControl/>
      </w:pPr>
      <w:r>
        <w:rPr>
          <w:i/>
          <w:color w:val="7F7F7F"/>
        </w:rPr>
        <w:t>Документ описывает рекомендуемую экономическую и коммуникационную конструкцию. Фактические права возникают только после утверждения окончательных корпоративных, юридических, налоговых и индивидуальных документов программы; при расхождении применяются утверждённые документы.</w:t>
      </w:r>
    </w:p>
    <w:sectPr>
      <w:headerReference w:type="default" r:id="rId7"/>
      <w:footerReference w:type="default" r:id="rId8"/>
      <w:pgSz w:h="16838" w:w="11906" w:orient="portrait"/>
      <w:pgMar w:bottom="850" w:top="907" w:left="1020" w:right="1020" w:header="397" w:footer="39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7F7F7F"/>
        <w:sz w:val="16"/>
      </w:rPr>
      <w:t>Рабочая концепция • июль 2026</w:t>
    </w:r>
    <w:r>
      <w:t xml:space="preserve">  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2F5597"/>
        <w:sz w:val="16"/>
      </w:rPr>
      <w:t>AIVEL • ДОЛГОСРОЧНАЯ ПРОГРАММА УЧАСТИЯ КОМАНДЫ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ru"/>
      </w:rPr>
    </w:rPrDefault>
    <w:pPrDefault>
      <w:pPr>
        <w:spacing w:after="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00" w:line="259" w:lineRule="auto"/>
    </w:pPr>
    <w:rPr>
      <w:rFonts w:ascii="Arial" w:hAnsi="Arial"/>
      <w:color w:val="1F1F1F"/>
      <w:sz w:val="21"/>
    </w:rPr>
  </w:style>
  <w:style w:type="paragraph" w:styleId="Heading1">
    <w:name w:val="heading 1"/>
    <w:basedOn w:val="Normal"/>
    <w:next w:val="Normal"/>
    <w:pPr>
      <w:keepNext/>
      <w:keepLines w:val="1"/>
      <w:spacing w:before="240" w:lineRule="auto" w:after="100"/>
    </w:pPr>
    <w:rPr>
      <w:rFonts w:ascii="Arial" w:cs="Calibri" w:eastAsia="Calibri" w:hAnsi="Arial"/>
      <w:b/>
      <w:bCs w:val="1"/>
      <w:color w:val="17365D"/>
      <w:sz w:val="32"/>
      <w:szCs w:val="28"/>
    </w:rPr>
  </w:style>
  <w:style w:type="paragraph" w:styleId="Heading2">
    <w:name w:val="heading 2"/>
    <w:basedOn w:val="Normal"/>
    <w:next w:val="Normal"/>
    <w:pPr>
      <w:keepNext/>
      <w:keepLines w:val="1"/>
      <w:spacing w:before="240" w:lineRule="auto" w:after="100"/>
    </w:pPr>
    <w:rPr>
      <w:rFonts w:ascii="Arial" w:cs="Calibri" w:eastAsia="Calibri" w:hAnsi="Arial"/>
      <w:b/>
      <w:bCs w:val="1"/>
      <w:color w:val="2F5597"/>
      <w:sz w:val="25"/>
      <w:szCs w:val="26"/>
    </w:rPr>
  </w:style>
  <w:style w:type="paragraph" w:styleId="Heading3">
    <w:name w:val="heading 3"/>
    <w:basedOn w:val="Normal"/>
    <w:next w:val="Normal"/>
    <w:pPr>
      <w:keepNext/>
      <w:keepLines w:val="1"/>
      <w:spacing w:before="240" w:lineRule="auto" w:after="100"/>
    </w:pPr>
    <w:rPr>
      <w:rFonts w:ascii="Arial" w:cs="Calibri" w:eastAsia="Calibri" w:hAnsi="Arial"/>
      <w:b/>
      <w:bCs w:val="1"/>
      <w:color w:val="17365D"/>
      <w:sz w:val="22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b w:val="1"/>
      <w:bCs w:val="1"/>
      <w:i w:val="1"/>
      <w:iCs w:val="1"/>
    </w:rPr>
  </w:style>
  <w:style w:type="paragraph" w:styleId="Heading5">
    <w:name w:val="heading 5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</w:rPr>
  </w:style>
  <w:style w:type="paragraph" w:styleId="Heading6">
    <w:name w:val="heading 6"/>
    <w:basedOn w:val="Normal"/>
    <w:next w:val="Normal"/>
    <w:pPr>
      <w:keepNext w:val="1"/>
      <w:keepLines w:val="1"/>
      <w:spacing w:before="200" w:lineRule="auto"/>
    </w:pPr>
    <w:rPr>
      <w:rFonts w:ascii="Calibri" w:cs="Calibri" w:eastAsia="Calibri" w:hAnsi="Calibri"/>
      <w:i w:val="1"/>
      <w:iCs w:val="1"/>
    </w:rPr>
  </w:style>
  <w:style w:type="paragraph" w:styleId="Title">
    <w:name w:val="Title"/>
    <w:basedOn w:val="Normal"/>
    <w:next w:val="Normal"/>
    <w:pPr>
      <w:keepNext/>
      <w:spacing w:after="100" w:lineRule="auto" w:before="0"/>
    </w:pPr>
    <w:rPr>
      <w:rFonts w:ascii="Arial" w:cs="Calibri" w:eastAsia="Calibri" w:hAnsi="Arial"/>
      <w:b/>
      <w:color w:val="17365D"/>
      <w:sz w:val="48"/>
      <w:szCs w:val="52"/>
    </w:rPr>
  </w:style>
  <w:style w:type="paragraph" w:styleId="Subtitle">
    <w:name w:val="Subtitle"/>
    <w:basedOn w:val="Normal"/>
    <w:next w:val="Normal"/>
    <w:pPr>
      <w:keepNext/>
      <w:spacing w:before="240" w:after="100"/>
    </w:pPr>
    <w:rPr>
      <w:rFonts w:ascii="Arial" w:cs="Calibri" w:eastAsia="Calibri" w:hAnsi="Arial"/>
      <w:b w:val="0"/>
      <w:color w:val="7F7F7F"/>
      <w:sz w:val="2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