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40" w:lineRule="auto"/>
        <w:jc w:val="left"/>
        <w:rPr/>
      </w:pPr>
      <w:r>
        <w:t>Aivel LTI — рекомендуемая конструкция для команды и инвесторов</w:t>
      </w:r>
    </w:p>
    <w:p w:rsidR="00000000" w:rsidDel="00000000" w:rsidP="00000000" w:rsidRDefault="00000000" w:rsidRPr="00000000" w14:paraId="00000002">
      <w:pPr>
        <w:pStyle w:val="Subtitle"/>
        <w:rPr/>
      </w:pPr>
      <w:r>
        <w:t>Цена фиксируется на начало годового цикла, результат подтверждается и закрепление права начинается после его окончания</w:t>
      </w:r>
    </w:p>
    <w:p w:rsidR="00000000" w:rsidDel="00000000" w:rsidP="00000000" w:rsidRDefault="00000000" w:rsidRPr="00000000" w14:paraId="00000003">
      <w:pPr>
        <w:pStyle w:val="Heading1"/>
        <w:keepNext w:val="1"/>
        <w:spacing w:after="80" w:before="160" w:lineRule="auto"/>
        <w:rPr/>
      </w:pPr>
      <w:r w:rsidDel="00000000" w:rsidR="00000000" w:rsidRPr="00000000">
        <w:rPr>
          <w:b w:val="1"/>
          <w:bCs w:val="1"/>
          <w:rtl w:val="0"/>
        </w:rPr>
        <w:t>Каркас — в шести правилах</w:t>
      </w:r>
      <w:r w:rsidDel="00000000" w:rsidR="00000000" w:rsidRPr="00000000">
        <w:rPr>
          <w:rtl w:val="0"/>
        </w:rPr>
      </w:r>
    </w:p>
    <w:p w:rsidR="00000000" w:rsidDel="00000000" w:rsidP="00000000" w:rsidRDefault="00000000" w:rsidRPr="00000000" w14:paraId="00000004">
      <w:pPr>
        <w:spacing w:after="40" w:lineRule="auto"/>
        <w:ind w:left="312" w:hanging="142"/>
        <w:rPr/>
      </w:pPr>
      <w:r>
        <w:rPr>
          <w:b/>
        </w:rPr>
        <w:t xml:space="preserve">1. Два независимых вида переменного вознаграждения. </w:t>
      </w:r>
      <w:r>
        <w:t>Обычная денежная премия за текущий результат: квартал, проект, этап. У нее нет обязательного единого периода; условия и размер согласуются с непосредственным руководителем. Вторая — долгосрочная программа участия в стоимости компании, или LTI. Начисляется дополнительно и дает возможность участвовать в стоимости компании.</w:t>
      </w:r>
    </w:p>
    <w:p w:rsidR="00000000" w:rsidDel="00000000" w:rsidP="00000000" w:rsidRDefault="00000000" w:rsidRPr="00000000" w14:paraId="00000005">
      <w:pPr>
        <w:spacing w:after="40" w:lineRule="auto"/>
        <w:ind w:left="312" w:hanging="142"/>
        <w:rPr/>
      </w:pPr>
      <w:r>
        <w:rPr>
          <w:b/>
        </w:rPr>
        <w:t xml:space="preserve">2. Каждый год пакет нужно заслужить заново. </w:t>
      </w:r>
      <w:r>
        <w:t>Совет директоров в начале каждого годового цикла поименно утверждает условное участие, целевой размер от 0,25 до 1,0 годового фиксированного оклада, цели, формулу и начальную цену. Участие или размер в одном цикле не дают права на новый пакет или тот же размер в следующем. Все решения принимаются внутри единого общего резерва в 10%; новые 10% каждый год не создаются.</w:t>
      </w:r>
    </w:p>
    <w:p w:rsidR="00000000" w:rsidDel="00000000" w:rsidP="00000000" w:rsidRDefault="00000000" w:rsidRPr="00000000" w14:paraId="00000006">
      <w:pPr>
        <w:spacing w:after="40" w:lineRule="auto"/>
        <w:ind w:left="312" w:hanging="142"/>
        <w:rPr/>
      </w:pPr>
      <w:r w:rsidDel="00000000" w:rsidR="00000000" w:rsidRPr="00000000">
        <w:rPr>
          <w:b w:val="1"/>
          <w:bCs w:val="1"/>
          <w:rtl w:val="0"/>
        </w:rPr>
        <w:t xml:space="preserve">3. Формула — 60% на 40%. </w:t>
      </w:r>
      <w:r w:rsidDel="00000000" w:rsidR="00000000" w:rsidRPr="00000000">
        <w:rPr>
          <w:rtl w:val="0"/>
        </w:rPr>
        <w:t>На 60% итоговый пакет зависит от результата компании и на 40% — от выполнения личных целей, заранее согласованных с руководителем. При выполнении обеих частей на 100% участник получает весь целевой пакет. Итог не может превышать 100% целевого размера.</w:t>
      </w:r>
    </w:p>
    <w:p w:rsidR="00000000" w:rsidDel="00000000" w:rsidP="00000000" w:rsidRDefault="00000000" w:rsidRPr="00000000" w14:paraId="00000007">
      <w:pPr>
        <w:spacing w:after="40" w:lineRule="auto"/>
        <w:ind w:left="312" w:hanging="142"/>
        <w:rPr/>
      </w:pPr>
      <w:r>
        <w:rPr>
          <w:b/>
        </w:rPr>
        <w:t xml:space="preserve">4. Цена фиксируется на начало года, а число единиц — после результата. </w:t>
      </w:r>
      <w:r>
        <w:t>В начале цикла Совет фиксирует начальную цену и резервирует максимально возможное число единиц. После окончания года Совет по заранее утвержденной формуле подтверждает итоговую сумму: число единиц равно итоговой сумме, деленной на начальную цену. Привлечение инвестиций в течение года не меняет эту цену и не уменьшает число единиц за уже идущий цикл; при этом выпуск новых единиц размывает процент участника на общих основаниях. Расчетные единицы отражают полную экономическую стоимость обыкновенной акции, а не только будущий прирост.</w:t>
      </w:r>
    </w:p>
    <w:p w:rsidR="00000000" w:rsidDel="00000000" w:rsidP="00000000" w:rsidRDefault="00000000" w:rsidRPr="00000000" w14:paraId="00000008">
      <w:pPr>
        <w:spacing w:after="40" w:lineRule="auto"/>
        <w:ind w:left="312" w:hanging="142"/>
        <w:rPr/>
      </w:pPr>
      <w:r>
        <w:rPr>
          <w:b/>
        </w:rPr>
        <w:t xml:space="preserve">5. Закрепление права начинается после окончания года. </w:t>
      </w:r>
      <w:r>
        <w:t>В дату подтверждения результата и выдачи пакета начинается отдельный 36-месячный срок. Через 3, 6, 9 и далее до 36 месяцев к участнику переходит по 1/12 пакета. Таким образом, от начала года результата до полного перехода прав проходит до четырех лет. Пока компания является ООО, это договорное право, а не доля в ООО.</w:t>
      </w:r>
    </w:p>
    <w:p w:rsidR="00000000" w:rsidDel="00000000" w:rsidP="00000000" w:rsidRDefault="00000000" w:rsidRPr="00000000" w14:paraId="00000009">
      <w:pPr>
        <w:spacing w:after="40" w:lineRule="auto"/>
        <w:ind w:left="312" w:hanging="142"/>
        <w:rPr/>
      </w:pPr>
      <w:r w:rsidDel="00000000" w:rsidR="00000000" w:rsidRPr="00000000">
        <w:rPr>
          <w:b w:val="1"/>
          <w:bCs w:val="1"/>
          <w:rtl w:val="0"/>
        </w:rPr>
        <w:t xml:space="preserve">6. Выплаты — только на перешедшую часть. </w:t>
      </w:r>
      <w:r w:rsidDel="00000000" w:rsidR="00000000" w:rsidRPr="00000000">
        <w:rPr>
          <w:rtl w:val="0"/>
        </w:rPr>
        <w:t>Если владельцам выплачиваются дивиденды, участник получает равную по смыслу договорную выплату на уже перешедшую часть; после получения акций — обычные дивиденды. При продаже компании перешедшая часть участвует в расчете. При уходе не перешедшая часть аннулируется и возвращается в общий резерв, а судьба перешедшей части определяется правилами добросовестного и недобросовестного ухода.</w:t>
      </w:r>
    </w:p>
    <w:p w:rsidR="00000000" w:rsidDel="00000000" w:rsidP="00000000" w:rsidRDefault="00000000" w:rsidRPr="00000000" w14:paraId="0000000A">
      <w:pPr>
        <w:pStyle w:val="Heading1"/>
        <w:keepNext w:val="1"/>
        <w:spacing w:after="80" w:before="200" w:lineRule="auto"/>
        <w:rPr/>
      </w:pPr>
      <w:r w:rsidDel="00000000" w:rsidR="00000000" w:rsidRPr="00000000">
        <w:rPr>
          <w:b w:val="1"/>
          <w:bCs w:val="1"/>
          <w:rtl w:val="0"/>
        </w:rPr>
        <w:t>Экономические принципы каркаса</w:t>
      </w:r>
      <w:r w:rsidDel="00000000" w:rsidR="00000000" w:rsidRPr="00000000">
        <w:rPr>
          <w:rtl w:val="0"/>
        </w:rPr>
      </w:r>
    </w:p>
    <w:p w:rsidR="00000000" w:rsidDel="00000000" w:rsidP="00000000" w:rsidRDefault="00000000" w:rsidRPr="00000000" w14:paraId="0000000B">
      <w:pPr>
        <w:pStyle w:val="Heading2"/>
        <w:keepNext w:val="1"/>
        <w:spacing w:after="80" w:before="200" w:lineRule="auto"/>
        <w:rPr/>
      </w:pPr>
      <w:r w:rsidDel="00000000" w:rsidR="00000000" w:rsidRPr="00000000">
        <w:rPr>
          <w:b w:val="1"/>
          <w:bCs w:val="1"/>
          <w:rtl w:val="0"/>
        </w:rPr>
        <w:t>1. Что именно получает участник</w:t>
      </w:r>
      <w:r w:rsidDel="00000000" w:rsidR="00000000" w:rsidRPr="00000000">
        <w:rPr>
          <w:rtl w:val="0"/>
        </w:rPr>
      </w:r>
    </w:p>
    <w:p w:rsidR="00000000" w:rsidDel="00000000" w:rsidP="00000000" w:rsidRDefault="00000000" w:rsidRPr="00000000" w14:paraId="0000000C">
      <w:pPr>
        <w:rPr/>
      </w:pPr>
      <w:r>
        <w:t>Участник получает условную возможность заработать расчетные единицы. Каждая единица соответствует полной экономической стоимости одной обыкновенной акции либо заранее определенной ее части. Порог прироста не применяется: участник получает часть уже созданной стоимости. В начале года фиксируется начальная цена, после года — итоговый результат и число единиц. После выдачи уже подтвержденное число единиц не пересчитывается задним числом из-за роста или снижения оценки; его стоимость движется вместе со стоимостью компании.</w:t>
      </w:r>
    </w:p>
    <w:p w:rsidR="00000000" w:rsidDel="00000000" w:rsidP="00000000" w:rsidRDefault="00000000" w:rsidRPr="00000000" w14:paraId="0000000D">
      <w:pPr>
        <w:rPr/>
      </w:pPr>
      <w:r>
        <w:t>Экономический смысл программы — привлечь и удержать сильного человека, передав ему часть стоимости компании как долгосрочное вознаграждение. Начальная цена включает экономику года результата: если стоимость компании в этом году растет, участник получает больше текущей стоимости при том же целевом рублевом размере; если падает, пакет дешевеет, и корректировки вверх нет. Новые выпуски уменьшают процентную долю участника на тех же общих основаниях, что и доли прежних владельцев.</w:t>
      </w:r>
    </w:p>
    <w:p w:rsidR="00000000" w:rsidDel="00000000" w:rsidP="00000000" w:rsidRDefault="00000000" w:rsidRPr="00000000" w14:paraId="0000000E">
      <w:pPr>
        <w:rPr/>
      </w:pPr>
      <w:r w:rsidDel="00000000" w:rsidR="00000000" w:rsidRPr="00000000">
        <w:rPr>
          <w:rtl w:val="0"/>
        </w:rPr>
        <w:t>Пока компания остается обществом с ограниченной ответственностью, расчетные единицы являются договорным правом. Они не делают участника владельцем доли, не дают права голоса и сами по себе не являются дивидендом. После преобразования компании в акционерное общество или создания иной подходящей структуры перешедшая часть может обмениваться на обыкновенные акции. Конкретная форма обмена или денежного расчета определяется следующим этапом до первой фактической выдачи прав.</w:t>
      </w:r>
    </w:p>
    <w:p w:rsidR="00000000" w:rsidDel="00000000" w:rsidP="00000000" w:rsidRDefault="00000000" w:rsidRPr="00000000" w14:paraId="0000000F">
      <w:pPr>
        <w:pStyle w:val="Heading2"/>
        <w:keepNext w:val="1"/>
        <w:spacing w:after="80" w:before="200" w:lineRule="auto"/>
        <w:rPr/>
      </w:pPr>
      <w:r w:rsidDel="00000000" w:rsidR="00000000" w:rsidRPr="00000000">
        <w:rPr>
          <w:b w:val="1"/>
          <w:bCs w:val="1"/>
          <w:rtl w:val="0"/>
        </w:rPr>
        <w:t>2. Как устроен общий резерв в 10%</w:t>
      </w:r>
      <w:r w:rsidDel="00000000" w:rsidR="00000000" w:rsidRPr="00000000">
        <w:rPr>
          <w:rtl w:val="0"/>
        </w:rPr>
      </w:r>
    </w:p>
    <w:p w:rsidR="00000000" w:rsidDel="00000000" w:rsidP="00000000" w:rsidRDefault="00000000" w:rsidRPr="00000000" w14:paraId="00000010">
      <w:pPr>
        <w:rPr/>
      </w:pPr>
      <w:r>
        <w:t>10% — это единый предельный размер всей программы на полностью разводненной базе на дату создания резерва, включая сам резерв, а не ежегодное выделение новых 10%. Например, из 100 000 000 единиц 90 000 000 принадлежат владельцам, а 10 000 000 составляют весь резерв. Перевод единиц из резерва в индивидуальный пакет не создает дополнительного размытия. Для планирования можно использовать ориентир 5% для текущей команды, 4% для будущих сильных наймов и 1% как резерв Совета; это части одного предела, а не три новые квоты.</w:t>
      </w:r>
    </w:p>
    <w:p w:rsidR="00000000" w:rsidDel="00000000" w:rsidP="00000000" w:rsidRDefault="00000000" w:rsidRPr="00000000" w14:paraId="00000011">
      <w:pPr>
        <w:rPr/>
      </w:pPr>
      <w:r>
        <w:t>В начале каждого годового цикла из свободного остатка условно резервируется максимальное число единиц по целевому размеру и начальной цене. После подтверждения результата неиспользованная часть резерва освобождается, а для подтвержденного пакета начинается закрепление права. Не перешедшие права, утраченные по правилам ухода, возвращаются в свободный остаток. Уже подтвержденный пакет нельзя произвольно отменить или ухудшить задним числом, кроме заранее описанных узких правил уменьшения или возврата прав.</w:t>
      </w:r>
    </w:p>
    <w:p w:rsidR="00000000" w:rsidDel="00000000" w:rsidP="00000000" w:rsidRDefault="00000000" w:rsidRPr="00000000" w14:paraId="00000012">
      <w:pPr>
        <w:rPr/>
      </w:pPr>
      <w:r w:rsidDel="00000000" w:rsidR="00000000" w:rsidRPr="00000000">
        <w:rPr>
          <w:rtl w:val="0"/>
        </w:rPr>
        <w:t>Следующее привлечение инвестиций уменьшает процентную долю всего резерва так же, как доли прежних владельцев. Автоматического восстановления резерва обратно до 10% нет.</w:t>
      </w:r>
    </w:p>
    <w:p w:rsidR="00000000" w:rsidDel="00000000" w:rsidP="00000000" w:rsidRDefault="00000000" w:rsidRPr="00000000" w14:paraId="00000013">
      <w:pPr>
        <w:pStyle w:val="Heading2"/>
        <w:keepNext w:val="1"/>
        <w:spacing w:after="80" w:before="200" w:lineRule="auto"/>
        <w:rPr/>
      </w:pPr>
      <w:r w:rsidDel="00000000" w:rsidR="00000000" w:rsidRPr="00000000">
        <w:rPr>
          <w:b w:val="1"/>
          <w:bCs w:val="1"/>
          <w:rtl w:val="0"/>
        </w:rPr>
        <w:t>3. Как определяется годовой размер</w:t>
      </w:r>
      <w:r w:rsidDel="00000000" w:rsidR="00000000" w:rsidRPr="00000000">
        <w:rPr>
          <w:rtl w:val="0"/>
        </w:rPr>
      </w:r>
    </w:p>
    <w:p w:rsidR="00000000" w:rsidDel="00000000" w:rsidP="00000000" w:rsidRDefault="00000000" w:rsidRPr="00000000" w14:paraId="00000014">
      <w:pPr>
        <w:rPr/>
      </w:pPr>
      <w:r>
        <w:t>В начале каждого годового цикла Совет директоров поименно выбирает участников и устанавливает каждому условный целевой размер LTI. Ориентиры: 0,75–1,0 годового фиксированного оклада для людей, определяющих ключевой результат; 0,4–0,75 для критичных руководителей и специалистов. Допустим весь диапазон 0,25–1,0; максимум — один годовой фиксированный оклад. Участие и размер не продлеваются автоматически: следующий цикл требует нового поименного решения. Годовой фиксированный оклад — 12 месячных окладов без премий и прежних LTI.</w:t>
      </w:r>
    </w:p>
    <w:p w:rsidR="00000000" w:rsidDel="00000000" w:rsidP="00000000" w:rsidRDefault="00000000" w:rsidRPr="00000000" w14:paraId="00000015">
      <w:pPr>
        <w:rPr/>
      </w:pPr>
      <w:r w:rsidDel="00000000" w:rsidR="00000000" w:rsidRPr="00000000">
        <w:rPr>
          <w:rtl w:val="0"/>
        </w:rPr>
        <w:t>Итоговый результат на 60% зависит от выполнения утвержденных целей компании и на 40% — от выполнения личных целей участника. Общий коэффициент ограничивается 100% целевого размера.</w:t>
      </w:r>
    </w:p>
    <w:p w:rsidR="00000000" w:rsidDel="00000000" w:rsidP="00000000" w:rsidRDefault="00000000" w:rsidRPr="00000000" w14:paraId="00000016">
      <w:pPr>
        <w:rPr/>
      </w:pPr>
      <w:r w:rsidDel="00000000" w:rsidR="00000000" w:rsidRPr="00000000">
        <w:rPr>
          <w:b w:val="1"/>
          <w:bCs w:val="1"/>
          <w:rtl w:val="0"/>
        </w:rPr>
        <w:t>Расчет: итоговая сумма = целевой размер × меньшая из двух величин: 100% или (60% × выполнение целей компании + 40% × выполнение личных целей).</w:t>
      </w:r>
      <w:r w:rsidDel="00000000" w:rsidR="00000000" w:rsidRPr="00000000">
        <w:rPr>
          <w:rtl w:val="0"/>
        </w:rPr>
      </w:r>
    </w:p>
    <w:p w:rsidR="00000000" w:rsidDel="00000000" w:rsidP="00000000" w:rsidRDefault="00000000" w:rsidRPr="00000000" w14:paraId="00000017">
      <w:pPr>
        <w:rPr/>
      </w:pPr>
      <w:r>
        <w:t>До начала цикла Совет проверяет свободный остаток, условно резервирует максимальное число единиц и письменно сообщает участнику: период, целевой размер, цели, веса 60/40, начальную дату, начальную оценку капитала, полностью разводненное число единиц и начальную цену. После окончания периода Совет подтверждает измеримый результат, итоговую сумму и число единиц; неиспользованный резерв освобождается. Совет не меняет формулу задним числом, кроме заранее оговоренных корректировок на чрезвычайные события. Ни один пакет не может увеличить общий резерв без отдельного решения владельцев.</w:t>
      </w:r>
    </w:p>
    <w:p w:rsidR="00000000" w:rsidDel="00000000" w:rsidP="00000000" w:rsidRDefault="00000000" w:rsidRPr="00000000" w14:paraId="00000018">
      <w:pPr>
        <w:pStyle w:val="Heading2"/>
        <w:keepNext w:val="1"/>
        <w:spacing w:after="80" w:before="200" w:lineRule="auto"/>
        <w:rPr/>
      </w:pPr>
      <w:r>
        <w:t>4. Как работают начальная цена, подтверждение и выдача</w:t>
      </w:r>
    </w:p>
    <w:p w:rsidR="00000000" w:rsidDel="00000000" w:rsidP="00000000" w:rsidRDefault="00000000" w:rsidRPr="00000000" w14:paraId="00000019">
      <w:pPr>
        <w:rPr/>
      </w:pPr>
      <w:r>
        <w:t>Начальная цена определяется на начальную дату годового цикла: стоимость капитала, приходящаяся на эквивалент обыкновенных акций, делится на полностью разводненное число единиц на ту же дату. Ориентир — последнее независимое привлечение инвестиций с корректировкой до эквивалента обыкновенной акции либо единая оценка, утвержденная Советом. Стоимость бизнеса сначала переводится в стоимость капитала: прибавляются денежные средства, вычитаются чистый долг, расходы, налоги и старшие требования инвесторов. Начальная дата и цена отличаются от юридической и бухгалтерской даты выдачи; требования учета определяются отдельно.</w:t>
      </w:r>
    </w:p>
    <w:p w:rsidR="00000000" w:rsidDel="00000000" w:rsidP="00000000" w:rsidRDefault="00000000" w:rsidRPr="00000000" w14:paraId="0000001A">
      <w:pPr>
        <w:rPr>
          <w:b w:val="1"/>
          <w:bCs w:val="1"/>
        </w:rPr>
      </w:pPr>
      <w:r>
        <w:t>Расчет: итоговая сумма = годовой оклад × целевой коэффициент × меньшая из величин [100%; 60% × результат компании + 40% × личный результат]. Число единиц = итоговая сумма ÷ начальная цена. Привлечение инвестиций между начальной датой и концом года не меняет начальную цену; он только размывает процент пакета вследствие выпуска новых единиц.</w:t>
      </w:r>
    </w:p>
    <w:p w:rsidR="00000000" w:rsidDel="00000000" w:rsidP="00000000" w:rsidRDefault="00000000" w:rsidRPr="00000000" w14:paraId="0000001B">
      <w:pPr>
        <w:rPr/>
      </w:pPr>
      <w:r>
        <w:t>После окончания года Совет подтверждает результат и выдает фиксированное число единиц. В эту же дату начинается закрепление права. Рублевая сумма не фиксируется: стоимость пакета после выдачи растет или снижается вместе со стоимостью эквивалента обыкновенной акции.</w:t>
      </w:r>
    </w:p>
    <w:p w:rsidR="00000000" w:rsidDel="00000000" w:rsidP="00000000" w:rsidRDefault="00000000" w:rsidRPr="00000000" w14:paraId="0000001C">
      <w:pPr>
        <w:pStyle w:val="Heading2"/>
        <w:keepNext w:val="1"/>
        <w:spacing w:after="80" w:before="200" w:lineRule="auto"/>
        <w:rPr/>
      </w:pPr>
      <w:r w:rsidDel="00000000" w:rsidR="00000000" w:rsidRPr="00000000">
        <w:rPr>
          <w:b w:val="1"/>
          <w:bCs w:val="1"/>
          <w:rtl w:val="0"/>
        </w:rPr>
        <w:t>5. Как права переходят к участнику</w:t>
      </w:r>
      <w:r w:rsidDel="00000000" w:rsidR="00000000" w:rsidRPr="00000000">
        <w:rPr>
          <w:rtl w:val="0"/>
        </w:rPr>
      </w:r>
    </w:p>
    <w:p w:rsidR="00000000" w:rsidDel="00000000" w:rsidP="00000000" w:rsidRDefault="00000000" w:rsidRPr="00000000" w14:paraId="0000001D">
      <w:pPr>
        <w:rPr/>
      </w:pPr>
      <w:r>
        <w:t>Каждый входной или годовой пакет живет отдельно и рассчитан на 36 месяцев от своей даты начала закрепления права. Через 3, 6, 9 и далее до 36 месяцев к участнику переходит по 1/12 пакета. Через 12 месяцев перешла одна треть, через 18 месяцев — половина, через 36 месяцев — весь пакет. Для простоты используются квартальные годовщины даты начала закрепления права, а не календарные кварталы.</w:t>
      </w:r>
    </w:p>
    <w:p w:rsidR="00000000" w:rsidDel="00000000" w:rsidP="00000000" w:rsidRDefault="00000000" w:rsidRPr="00000000" w14:paraId="0000001E">
      <w:pPr>
        <w:rPr/>
      </w:pPr>
      <w:r>
        <w:t>Для сильного кандидата Совет может утвердить входной пакет при найме с начальной ценой на дату входа или ближайшую регулярную дату оценки; период до выхода сотрудника не учитывается. При включении в текущий годовой цикл целевой размер пропорционально уменьшается по числу дней участия. Входной пакет заменяет первый годовой пакет за совпадающий период и не складывается с ним автоматически. Новые годовые пакеты в последующие годы возможны только по новому решению и имеют отдельные 36-месячные графики. Участник ежегодно получает выписку по каждому пакету.</w:t>
      </w:r>
    </w:p>
    <w:p w:rsidR="00000000" w:rsidDel="00000000" w:rsidP="00000000" w:rsidRDefault="00000000" w:rsidRPr="00000000" w14:paraId="0000001F">
      <w:pPr>
        <w:pStyle w:val="Heading2"/>
        <w:keepNext w:val="1"/>
        <w:spacing w:after="80" w:before="200" w:lineRule="auto"/>
        <w:rPr/>
      </w:pPr>
      <w:r w:rsidDel="00000000" w:rsidR="00000000" w:rsidRPr="00000000">
        <w:rPr>
          <w:b w:val="1"/>
          <w:bCs w:val="1"/>
          <w:rtl w:val="0"/>
        </w:rPr>
        <w:t>6. Дивиденды и продажа компании</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До получения реальных акций участнику может выплачиваться сумма, равная дивиденду, только на ту часть расчетных единиц, права на которую уже перешли. Такая выплата возникает только тогда, когда владельцам действительно объявлены и выплачены дивиденды. Она является отдельной договорной выплатой, а не дивидендом в юридическом смысле. После получения акций участник получает обычные дивиденды по этим акциям.</w:t>
      </w:r>
    </w:p>
    <w:p w:rsidR="00000000" w:rsidDel="00000000" w:rsidP="00000000" w:rsidRDefault="00000000" w:rsidRPr="00000000" w14:paraId="00000021">
      <w:pPr>
        <w:rPr/>
      </w:pPr>
      <w:r>
        <w:t>При продаже компании участвует только перешедшая часть пакета. Расчет ведется от суммы, приходящейся на эквивалент обыкновенных акций после долга, денежных средств, расходов, налогов и особых прав инвесторов; удержанные и отложенные суммы выплачиваются в те же сроки, что и владельцам соответствующего класса. Неперешедшая часть по умолчанию не ускоряется: если покупатель принимает эквивалентные обязательства, закрепление права продолжается; рекомендуемое двойное условие — ускорение только если после сделки обязательство не принято либо в течение 12 месяцев участник уволен без нарушения или его роль существенно ухудшена. Точное правило фиксируется до выдачи пакета.</w:t>
      </w:r>
    </w:p>
    <w:p w:rsidR="00000000" w:rsidDel="00000000" w:rsidP="00000000" w:rsidRDefault="00000000" w:rsidRPr="00000000" w14:paraId="00000022">
      <w:pPr>
        <w:pStyle w:val="Heading2"/>
        <w:keepNext w:val="1"/>
        <w:spacing w:after="80" w:before="200" w:lineRule="auto"/>
        <w:rPr/>
      </w:pPr>
      <w:r w:rsidDel="00000000" w:rsidR="00000000" w:rsidRPr="00000000">
        <w:rPr>
          <w:b w:val="1"/>
          <w:bCs w:val="1"/>
          <w:rtl w:val="0"/>
        </w:rPr>
        <w:t>7. Что происходит при уходе</w:t>
      </w:r>
      <w:r w:rsidDel="00000000" w:rsidR="00000000" w:rsidRPr="00000000">
        <w:rPr>
          <w:rtl w:val="0"/>
        </w:rPr>
      </w:r>
    </w:p>
    <w:p w:rsidR="00000000" w:rsidDel="00000000" w:rsidP="00000000" w:rsidRDefault="00000000" w:rsidRPr="00000000" w14:paraId="00000023">
      <w:pPr>
        <w:rPr/>
      </w:pPr>
      <w:r>
        <w:t>При добросовестном или нейтральном уходе участник сохраняет перешедшую часть, а неперешедшая возвращается в резерв. Обычное увольнение по собственному желанию и увольнение по инициативе компании сами по себе не означают недобросовестный уход. Для незавершенного годового цикла при сокращении, болезни, смерти или согласованном уходе Совет подтверждает пропорциональную итоговую сумму за фактические дни участия; при обычном добровольном уходе условная возможность текущего цикла прекращается, если индивидуальное уведомление не предусматривает иное.</w:t>
      </w:r>
    </w:p>
    <w:p w:rsidR="00000000" w:rsidDel="00000000" w:rsidP="00000000" w:rsidRDefault="00000000" w:rsidRPr="00000000" w14:paraId="00000024">
      <w:pPr>
        <w:rPr/>
      </w:pPr>
      <w:r>
        <w:t>Недобросовестный уход определяется узко и подтверждается документами: мошенничество, хищение, умышленное существенное причинение ущерба либо грубое нарушение конфиденциальности. Только заранее утвержденные правила могут предусматривать утрату перешедшей части или возврат выплат. Решение принимает Совет с письменным обоснованием и предусмотренным сроком для возражений. Смерть или инвалидность никогда не являются недобросовестным уходом; перешедшие права переходят наследникам или указанному получателю.</w:t>
      </w:r>
    </w:p>
    <w:p>
      <w:pPr>
        <w:pStyle w:val="Heading2"/>
      </w:pPr>
      <w:r>
        <w:t>8. Незавершенный цикл, изменение роли и продажа компании</w:t>
      </w:r>
    </w:p>
    <w:p>
      <w:r>
        <w:t>Новый сотрудник входит по цене на дату найма или ближайшую регулярную дату оценки и получает пропорциональную цель только за период участия. При существенном изменении роли Совет может изменить цели и целевой размер только на будущее, письменно и без ретроспективного ухудшения уже завершенного периода.</w:t>
      </w:r>
    </w:p>
    <w:p>
      <w:r>
        <w:t>Если событие ликвидности происходит до конца годового цикла, Совет до закрытия сделки подтверждает пропорциональный результат за фактический период по лучшим доступным данным и выдает либо рассчитывает пакет по зафиксированной начальной цене. Это правило не дает права на будущие циклы и действует только в пределах заранее зарезервированных единиц.</w:t>
      </w:r>
    </w:p>
    <w:p>
      <w:r>
        <w:t>Состав участников, целевые размеры и критерии будущих циклов могут пересматриваться. Участник не имеет бессрочного права на ежегодный пакет. При этом подтвержденное число единиц и опубликованный график закрепления права не меняются произвольно после выдачи.</w:t>
      </w:r>
    </w:p>
    <w:p w:rsidR="00000000" w:rsidDel="00000000" w:rsidP="00000000" w:rsidRDefault="00000000" w:rsidRPr="00000000" w14:paraId="00000025">
      <w:pPr>
        <w:pStyle w:val="Heading2"/>
        <w:keepNext w:val="1"/>
        <w:spacing w:after="80" w:before="200" w:lineRule="auto"/>
        <w:rPr/>
      </w:pPr>
      <w:r>
        <w:t>9. Управление и контроль</w:t>
      </w:r>
    </w:p>
    <w:p w:rsidR="00000000" w:rsidDel="00000000" w:rsidP="00000000" w:rsidRDefault="00000000" w:rsidRPr="00000000" w14:paraId="00000026">
      <w:pPr>
        <w:rPr/>
      </w:pPr>
      <w:r>
        <w:t>Совет директоров поименно утверждает участников, условные целевые размеры, начальные даты и цены, цели, фактические результаты, итоговые суммы, число единиц, даты начала закрепления права и свободный остаток. Состав участников и размеры будущих пакетов могут меняться; условия уже подтвержденных пакетов сохраняются, кроме заранее установленных уменьшения или возврата прав. Владельцы юридически создают общий резерв и утверждают любое увеличение; Совет распределяет его в пределах полномочий.</w:t>
      </w:r>
    </w:p>
    <w:p w:rsidR="00000000" w:rsidDel="00000000" w:rsidP="00000000" w:rsidRDefault="00000000" w:rsidRPr="00000000" w14:paraId="00000027">
      <w:pPr>
        <w:rPr/>
      </w:pPr>
      <w:r w:rsidDel="00000000" w:rsidR="00000000" w:rsidRPr="00000000">
        <w:rPr>
          <w:rtl w:val="0"/>
        </w:rPr>
        <w:t>Компания ведет единый реестр программы. Участник не реже одного раза в год получает понятную выписку по каждому пакету. Финансовая модель должна одновременно показывать выданные, перешедшие, не перешедшие, возвращенные и свободные единицы.</w:t>
      </w:r>
    </w:p>
    <w:p w:rsidR="00000000" w:rsidDel="00000000" w:rsidP="00000000" w:rsidRDefault="00000000" w:rsidRPr="00000000" w14:paraId="00000028">
      <w:pPr>
        <w:keepLines w:val="1"/>
        <w:rPr/>
      </w:pPr>
      <w:r w:rsidDel="00000000" w:rsidR="00000000" w:rsidRPr="00000000">
        <w:rPr>
          <w:rtl w:val="0"/>
        </w:rPr>
      </w:r>
    </w:p>
    <w:p w:rsidR="00000000" w:rsidDel="00000000" w:rsidP="00000000" w:rsidRDefault="00000000" w:rsidRPr="00000000" w14:paraId="00000029">
      <w:pPr>
        <w:spacing w:after="0" w:lineRule="auto"/>
        <w:rPr/>
      </w:pPr>
      <w:r w:rsidDel="00000000" w:rsidR="00000000" w:rsidRPr="00000000"/>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b w:val="1"/>
          <w:bCs w:val="1"/>
          <w:rtl w:val="0"/>
        </w:rPr>
        <w:t>ПРИЛОЖЕНИЕ 1</w:t>
      </w:r>
      <w:r w:rsidDel="00000000" w:rsidR="00000000" w:rsidRPr="00000000">
        <w:rPr>
          <w:rtl w:val="0"/>
        </w:rPr>
      </w:r>
    </w:p>
    <w:p>
      <w:pPr>
        <w:pStyle w:val="Heading1"/>
      </w:pPr>
      <w:r>
        <w:t>Примеры работы программы</w:t>
      </w:r>
    </w:p>
    <w:p>
      <w:r>
        <w:t>Примеры показывают механику, а не обещание. Исходно в компании 100 млн расчетных единиц, из них 10 млн составляют единый резерв программы. Плановые направления: 5% для текущей команды, 4% для будущих сильных наймов и 1% для решений Совета. За пять привлечений инвестиций компания получает 4 млрд ₽. Продажа происходит сразу после пятого года при стоимости капитала 16 млрд ₽.</w:t>
      </w:r>
    </w:p>
    <w:p>
      <w:pPr>
        <w:pStyle w:val="Heading2"/>
      </w:pPr>
      <w:r>
        <w:t>Пример 1. Один годовой пакет: цель 5 млн ₽, заработано 4,75 млн ₽</w:t>
      </w:r>
    </w:p>
    <w:p>
      <w:r>
        <w:t>На начало первого года стоимость капитала после вложения 400 млн ₽ равна 1,6 млрд ₽. Цена расчетной единицы остается 12 ₽: 1,6 млрд ₽ делятся на 133,333 млн единиц. Компания выполняет цель на 90%, Мария — на 102,5%. По формуле 60% / 40% итог равен 95%; результат ограничен 100%. Поэтому заработанная стоимость пакета Марии равна 4,75 млн ₽.</w:t>
      </w:r>
    </w:p>
    <w:tbl>
      <w:tblPr>
        <w:tblW w:type="dxa" w:w="8856"/>
        <w:jc w:val="left"/>
        <w:tblLayout w:type="fixed"/>
        <w:tblLook w:firstColumn="1" w:firstRow="1" w:lastColumn="0" w:lastRow="0" w:noHBand="0" w:noVBand="1" w:val="04A0"/>
        <w:tblInd w:w="110" w:type="dxa"/>
        <w:tblBorders>
          <w:top w:val="single" w:sz="4" w:space="0" w:color="AAB2BD"/>
          <w:start w:val="single" w:sz="4" w:space="0" w:color="AAB2BD"/>
          <w:bottom w:val="single" w:sz="4" w:space="0" w:color="AAB2BD"/>
          <w:end w:val="single" w:sz="4" w:space="0" w:color="AAB2BD"/>
          <w:insideH w:val="single" w:sz="4" w:space="0" w:color="AAB2BD"/>
          <w:insideV w:val="single" w:sz="4" w:space="0" w:color="AAB2BD"/>
        </w:tblBorders>
      </w:tblPr>
      <w:tblGrid>
        <w:gridCol w:w="2448"/>
        <w:gridCol w:w="4464"/>
        <w:gridCol w:w="1944"/>
      </w:tblGrid>
      <w:tr>
        <w:trPr>
          <w:tblHeader w:val="true"/>
        </w:trPr>
        <w:tc>
          <w:tcPr>
            <w:tcW w:type="dxa" w:w="2448"/>
            <w:vAlign w:val="center"/>
            <w:tcMar>
              <w:top w:w="90" w:type="dxa"/>
              <w:start w:w="110" w:type="dxa"/>
              <w:bottom w:w="90" w:type="dxa"/>
              <w:end w:w="110" w:type="dxa"/>
            </w:tcMar>
            <w:shd w:fill="0F1722"/>
          </w:tcPr>
          <w:p>
            <w:pPr>
              <w:spacing w:after="0" w:before="0" w:line="240" w:lineRule="auto"/>
            </w:pPr>
            <w:r>
              <w:rPr>
                <w:b/>
                <w:color w:val="FFFFFF"/>
                <w:sz w:val="18"/>
              </w:rPr>
              <w:t>Показатель</w:t>
            </w:r>
          </w:p>
        </w:tc>
        <w:tc>
          <w:tcPr>
            <w:tcW w:type="dxa" w:w="4464"/>
            <w:vAlign w:val="center"/>
            <w:tcMar>
              <w:top w:w="90" w:type="dxa"/>
              <w:start w:w="110" w:type="dxa"/>
              <w:bottom w:w="90" w:type="dxa"/>
              <w:end w:w="110" w:type="dxa"/>
            </w:tcMar>
            <w:shd w:fill="0F1722"/>
          </w:tcPr>
          <w:p>
            <w:pPr>
              <w:spacing w:after="0" w:before="0" w:line="240" w:lineRule="auto"/>
            </w:pPr>
            <w:r>
              <w:rPr>
                <w:b/>
                <w:color w:val="FFFFFF"/>
                <w:sz w:val="18"/>
              </w:rPr>
              <w:t>Расчет</w:t>
            </w:r>
          </w:p>
        </w:tc>
        <w:tc>
          <w:tcPr>
            <w:tcW w:type="dxa" w:w="1944"/>
            <w:vAlign w:val="center"/>
            <w:tcMar>
              <w:top w:w="90" w:type="dxa"/>
              <w:start w:w="110" w:type="dxa"/>
              <w:bottom w:w="90" w:type="dxa"/>
              <w:end w:w="110" w:type="dxa"/>
            </w:tcMar>
            <w:shd w:fill="0F1722"/>
          </w:tcPr>
          <w:p>
            <w:pPr>
              <w:spacing w:after="0" w:before="0" w:line="240" w:lineRule="auto"/>
            </w:pPr>
            <w:r>
              <w:rPr>
                <w:b/>
                <w:color w:val="FFFFFF"/>
                <w:sz w:val="18"/>
              </w:rPr>
              <w:t>Результат</w:t>
            </w:r>
          </w:p>
        </w:tc>
      </w:tr>
      <w:tr>
        <w:tc>
          <w:tcPr>
            <w:tcW w:type="dxa" w:w="2448"/>
            <w:vAlign w:val="center"/>
            <w:tcMar>
              <w:top w:w="90" w:type="dxa"/>
              <w:start w:w="110" w:type="dxa"/>
              <w:bottom w:w="90" w:type="dxa"/>
              <w:end w:w="110" w:type="dxa"/>
            </w:tcMar>
          </w:tcPr>
          <w:p>
            <w:pPr>
              <w:spacing w:after="0" w:before="0" w:line="240" w:lineRule="auto"/>
            </w:pPr>
            <w:r>
              <w:rPr>
                <w:sz w:val="18"/>
              </w:rPr>
              <w:t>Целевой пакет</w:t>
            </w:r>
          </w:p>
        </w:tc>
        <w:tc>
          <w:tcPr>
            <w:tcW w:type="dxa" w:w="4464"/>
            <w:vAlign w:val="center"/>
            <w:tcMar>
              <w:top w:w="90" w:type="dxa"/>
              <w:start w:w="110" w:type="dxa"/>
              <w:bottom w:w="90" w:type="dxa"/>
              <w:end w:w="110" w:type="dxa"/>
            </w:tcMar>
          </w:tcPr>
          <w:p>
            <w:pPr>
              <w:spacing w:after="0" w:before="0" w:line="240" w:lineRule="auto"/>
            </w:pPr>
            <w:r>
              <w:rPr>
                <w:sz w:val="18"/>
              </w:rPr>
              <w:t>5 млн ₽ × 1,0</w:t>
            </w:r>
          </w:p>
        </w:tc>
        <w:tc>
          <w:tcPr>
            <w:tcW w:type="dxa" w:w="1944"/>
            <w:vAlign w:val="center"/>
            <w:tcMar>
              <w:top w:w="90" w:type="dxa"/>
              <w:start w:w="110" w:type="dxa"/>
              <w:bottom w:w="90" w:type="dxa"/>
              <w:end w:w="110" w:type="dxa"/>
            </w:tcMar>
          </w:tcPr>
          <w:p>
            <w:pPr>
              <w:spacing w:after="0" w:before="0" w:line="240" w:lineRule="auto"/>
            </w:pPr>
            <w:r>
              <w:rPr>
                <w:sz w:val="18"/>
              </w:rPr>
              <w:t>5 млн ₽</w:t>
            </w:r>
          </w:p>
        </w:tc>
      </w:tr>
      <w:tr>
        <w:tc>
          <w:tcPr>
            <w:tcW w:type="dxa" w:w="2448"/>
            <w:vAlign w:val="center"/>
            <w:tcMar>
              <w:top w:w="90" w:type="dxa"/>
              <w:start w:w="110" w:type="dxa"/>
              <w:bottom w:w="90" w:type="dxa"/>
              <w:end w:w="110" w:type="dxa"/>
            </w:tcMar>
          </w:tcPr>
          <w:p>
            <w:pPr>
              <w:spacing w:after="0" w:before="0" w:line="240" w:lineRule="auto"/>
            </w:pPr>
            <w:r>
              <w:rPr>
                <w:sz w:val="18"/>
              </w:rPr>
              <w:t>Итоговый результат</w:t>
            </w:r>
          </w:p>
        </w:tc>
        <w:tc>
          <w:tcPr>
            <w:tcW w:type="dxa" w:w="4464"/>
            <w:vAlign w:val="center"/>
            <w:tcMar>
              <w:top w:w="90" w:type="dxa"/>
              <w:start w:w="110" w:type="dxa"/>
              <w:bottom w:w="90" w:type="dxa"/>
              <w:end w:w="110" w:type="dxa"/>
            </w:tcMar>
          </w:tcPr>
          <w:p>
            <w:pPr>
              <w:spacing w:after="0" w:before="0" w:line="240" w:lineRule="auto"/>
            </w:pPr>
            <w:r>
              <w:rPr>
                <w:sz w:val="18"/>
              </w:rPr>
              <w:t>60% × 90% + 40% × 102,5%</w:t>
            </w:r>
          </w:p>
        </w:tc>
        <w:tc>
          <w:tcPr>
            <w:tcW w:type="dxa" w:w="1944"/>
            <w:vAlign w:val="center"/>
            <w:tcMar>
              <w:top w:w="90" w:type="dxa"/>
              <w:start w:w="110" w:type="dxa"/>
              <w:bottom w:w="90" w:type="dxa"/>
              <w:end w:w="110" w:type="dxa"/>
            </w:tcMar>
          </w:tcPr>
          <w:p>
            <w:pPr>
              <w:spacing w:after="0" w:before="0" w:line="240" w:lineRule="auto"/>
            </w:pPr>
            <w:r>
              <w:rPr>
                <w:sz w:val="18"/>
              </w:rPr>
              <w:t>95%</w:t>
            </w:r>
          </w:p>
        </w:tc>
      </w:tr>
      <w:tr>
        <w:tc>
          <w:tcPr>
            <w:tcW w:type="dxa" w:w="2448"/>
            <w:vAlign w:val="center"/>
            <w:tcMar>
              <w:top w:w="90" w:type="dxa"/>
              <w:start w:w="110" w:type="dxa"/>
              <w:bottom w:w="90" w:type="dxa"/>
              <w:end w:w="110" w:type="dxa"/>
            </w:tcMar>
          </w:tcPr>
          <w:p>
            <w:pPr>
              <w:spacing w:after="0" w:before="0" w:line="240" w:lineRule="auto"/>
            </w:pPr>
            <w:r>
              <w:rPr>
                <w:sz w:val="18"/>
              </w:rPr>
              <w:t>Заработанный пакет</w:t>
            </w:r>
          </w:p>
        </w:tc>
        <w:tc>
          <w:tcPr>
            <w:tcW w:type="dxa" w:w="4464"/>
            <w:vAlign w:val="center"/>
            <w:tcMar>
              <w:top w:w="90" w:type="dxa"/>
              <w:start w:w="110" w:type="dxa"/>
              <w:bottom w:w="90" w:type="dxa"/>
              <w:end w:w="110" w:type="dxa"/>
            </w:tcMar>
          </w:tcPr>
          <w:p>
            <w:pPr>
              <w:spacing w:after="0" w:before="0" w:line="240" w:lineRule="auto"/>
            </w:pPr>
            <w:r>
              <w:rPr>
                <w:sz w:val="18"/>
              </w:rPr>
              <w:t>5 млн ₽ × 1,0 × 95%</w:t>
            </w:r>
          </w:p>
        </w:tc>
        <w:tc>
          <w:tcPr>
            <w:tcW w:type="dxa" w:w="1944"/>
            <w:vAlign w:val="center"/>
            <w:tcMar>
              <w:top w:w="90" w:type="dxa"/>
              <w:start w:w="110" w:type="dxa"/>
              <w:bottom w:w="90" w:type="dxa"/>
              <w:end w:w="110" w:type="dxa"/>
            </w:tcMar>
          </w:tcPr>
          <w:p>
            <w:pPr>
              <w:spacing w:after="0" w:before="0" w:line="240" w:lineRule="auto"/>
            </w:pPr>
            <w:r>
              <w:rPr>
                <w:sz w:val="18"/>
              </w:rPr>
              <w:t>4,75 млн ₽</w:t>
            </w:r>
          </w:p>
        </w:tc>
      </w:tr>
      <w:tr>
        <w:tc>
          <w:tcPr>
            <w:tcW w:type="dxa" w:w="2448"/>
            <w:vAlign w:val="center"/>
            <w:tcMar>
              <w:top w:w="90" w:type="dxa"/>
              <w:start w:w="110" w:type="dxa"/>
              <w:bottom w:w="90" w:type="dxa"/>
              <w:end w:w="110" w:type="dxa"/>
            </w:tcMar>
          </w:tcPr>
          <w:p>
            <w:pPr>
              <w:spacing w:after="0" w:before="0" w:line="240" w:lineRule="auto"/>
            </w:pPr>
            <w:r>
              <w:rPr>
                <w:sz w:val="18"/>
              </w:rPr>
              <w:t>Начальная цена</w:t>
            </w:r>
          </w:p>
        </w:tc>
        <w:tc>
          <w:tcPr>
            <w:tcW w:type="dxa" w:w="4464"/>
            <w:vAlign w:val="center"/>
            <w:tcMar>
              <w:top w:w="90" w:type="dxa"/>
              <w:start w:w="110" w:type="dxa"/>
              <w:bottom w:w="90" w:type="dxa"/>
              <w:end w:w="110" w:type="dxa"/>
            </w:tcMar>
          </w:tcPr>
          <w:p>
            <w:pPr>
              <w:spacing w:after="0" w:before="0" w:line="240" w:lineRule="auto"/>
            </w:pPr>
            <w:r>
              <w:rPr>
                <w:sz w:val="18"/>
              </w:rPr>
              <w:t>1,6 млрд ₽ ÷ 133,333 млн</w:t>
            </w:r>
          </w:p>
        </w:tc>
        <w:tc>
          <w:tcPr>
            <w:tcW w:type="dxa" w:w="1944"/>
            <w:vAlign w:val="center"/>
            <w:tcMar>
              <w:top w:w="90" w:type="dxa"/>
              <w:start w:w="110" w:type="dxa"/>
              <w:bottom w:w="90" w:type="dxa"/>
              <w:end w:w="110" w:type="dxa"/>
            </w:tcMar>
          </w:tcPr>
          <w:p>
            <w:pPr>
              <w:spacing w:after="0" w:before="0" w:line="240" w:lineRule="auto"/>
            </w:pPr>
            <w:r>
              <w:rPr>
                <w:sz w:val="18"/>
              </w:rPr>
              <w:t>12 ₽</w:t>
            </w:r>
          </w:p>
        </w:tc>
      </w:tr>
      <w:tr>
        <w:tc>
          <w:tcPr>
            <w:tcW w:type="dxa" w:w="2448"/>
            <w:vAlign w:val="center"/>
            <w:tcMar>
              <w:top w:w="90" w:type="dxa"/>
              <w:start w:w="110" w:type="dxa"/>
              <w:bottom w:w="90" w:type="dxa"/>
              <w:end w:w="110" w:type="dxa"/>
            </w:tcMar>
          </w:tcPr>
          <w:p>
            <w:pPr>
              <w:spacing w:after="0" w:before="0" w:line="240" w:lineRule="auto"/>
            </w:pPr>
            <w:r>
              <w:rPr>
                <w:sz w:val="18"/>
              </w:rPr>
              <w:t>Число единиц</w:t>
            </w:r>
          </w:p>
        </w:tc>
        <w:tc>
          <w:tcPr>
            <w:tcW w:type="dxa" w:w="4464"/>
            <w:vAlign w:val="center"/>
            <w:tcMar>
              <w:top w:w="90" w:type="dxa"/>
              <w:start w:w="110" w:type="dxa"/>
              <w:bottom w:w="90" w:type="dxa"/>
              <w:end w:w="110" w:type="dxa"/>
            </w:tcMar>
          </w:tcPr>
          <w:p>
            <w:pPr>
              <w:spacing w:after="0" w:before="0" w:line="240" w:lineRule="auto"/>
            </w:pPr>
            <w:r>
              <w:rPr>
                <w:sz w:val="18"/>
              </w:rPr>
              <w:t>4,75 млн ₽ ÷ 12 ₽</w:t>
            </w:r>
          </w:p>
        </w:tc>
        <w:tc>
          <w:tcPr>
            <w:tcW w:type="dxa" w:w="1944"/>
            <w:vAlign w:val="center"/>
            <w:tcMar>
              <w:top w:w="90" w:type="dxa"/>
              <w:start w:w="110" w:type="dxa"/>
              <w:bottom w:w="90" w:type="dxa"/>
              <w:end w:w="110" w:type="dxa"/>
            </w:tcMar>
          </w:tcPr>
          <w:p>
            <w:pPr>
              <w:spacing w:after="0" w:before="0" w:line="240" w:lineRule="auto"/>
            </w:pPr>
            <w:r>
              <w:rPr>
                <w:sz w:val="18"/>
              </w:rPr>
              <w:t>≈ 395 833</w:t>
            </w:r>
          </w:p>
        </w:tc>
      </w:tr>
      <w:tr>
        <w:tc>
          <w:tcPr>
            <w:tcW w:type="dxa" w:w="2448"/>
            <w:vAlign w:val="center"/>
            <w:tcMar>
              <w:top w:w="90" w:type="dxa"/>
              <w:start w:w="110" w:type="dxa"/>
              <w:bottom w:w="90" w:type="dxa"/>
              <w:end w:w="110" w:type="dxa"/>
            </w:tcMar>
          </w:tcPr>
          <w:p>
            <w:pPr>
              <w:spacing w:after="0" w:before="0" w:line="240" w:lineRule="auto"/>
            </w:pPr>
            <w:r>
              <w:rPr>
                <w:sz w:val="18"/>
              </w:rPr>
              <w:t>Цена при продаже</w:t>
            </w:r>
          </w:p>
        </w:tc>
        <w:tc>
          <w:tcPr>
            <w:tcW w:type="dxa" w:w="4464"/>
            <w:vAlign w:val="center"/>
            <w:tcMar>
              <w:top w:w="90" w:type="dxa"/>
              <w:start w:w="110" w:type="dxa"/>
              <w:bottom w:w="90" w:type="dxa"/>
              <w:end w:w="110" w:type="dxa"/>
            </w:tcMar>
          </w:tcPr>
          <w:p>
            <w:pPr>
              <w:spacing w:after="0" w:before="0" w:line="240" w:lineRule="auto"/>
            </w:pPr>
            <w:r>
              <w:rPr>
                <w:sz w:val="18"/>
              </w:rPr>
              <w:t>16 млрд ₽ ÷ 205,579 млн</w:t>
            </w:r>
          </w:p>
        </w:tc>
        <w:tc>
          <w:tcPr>
            <w:tcW w:type="dxa" w:w="1944"/>
            <w:vAlign w:val="center"/>
            <w:tcMar>
              <w:top w:w="90" w:type="dxa"/>
              <w:start w:w="110" w:type="dxa"/>
              <w:bottom w:w="90" w:type="dxa"/>
              <w:end w:w="110" w:type="dxa"/>
            </w:tcMar>
          </w:tcPr>
          <w:p>
            <w:pPr>
              <w:spacing w:after="0" w:before="0" w:line="240" w:lineRule="auto"/>
            </w:pPr>
            <w:r>
              <w:rPr>
                <w:sz w:val="18"/>
              </w:rPr>
              <w:t>77,83 ₽</w:t>
            </w:r>
          </w:p>
        </w:tc>
      </w:tr>
      <w:tr>
        <w:tc>
          <w:tcPr>
            <w:tcW w:type="dxa" w:w="2448"/>
            <w:vAlign w:val="center"/>
            <w:tcMar>
              <w:top w:w="90" w:type="dxa"/>
              <w:start w:w="110" w:type="dxa"/>
              <w:bottom w:w="90" w:type="dxa"/>
              <w:end w:w="110" w:type="dxa"/>
            </w:tcMar>
          </w:tcPr>
          <w:p>
            <w:pPr>
              <w:spacing w:after="0" w:before="0" w:line="240" w:lineRule="auto"/>
            </w:pPr>
            <w:r>
              <w:rPr>
                <w:sz w:val="18"/>
              </w:rPr>
              <w:t>Стоимость пакета</w:t>
            </w:r>
          </w:p>
        </w:tc>
        <w:tc>
          <w:tcPr>
            <w:tcW w:type="dxa" w:w="4464"/>
            <w:vAlign w:val="center"/>
            <w:tcMar>
              <w:top w:w="90" w:type="dxa"/>
              <w:start w:w="110" w:type="dxa"/>
              <w:bottom w:w="90" w:type="dxa"/>
              <w:end w:w="110" w:type="dxa"/>
            </w:tcMar>
          </w:tcPr>
          <w:p>
            <w:pPr>
              <w:spacing w:after="0" w:before="0" w:line="240" w:lineRule="auto"/>
            </w:pPr>
            <w:r>
              <w:rPr>
                <w:sz w:val="18"/>
              </w:rPr>
              <w:t>395 833 × 77,83 ₽</w:t>
            </w:r>
          </w:p>
        </w:tc>
        <w:tc>
          <w:tcPr>
            <w:tcW w:type="dxa" w:w="1944"/>
            <w:vAlign w:val="center"/>
            <w:tcMar>
              <w:top w:w="90" w:type="dxa"/>
              <w:start w:w="110" w:type="dxa"/>
              <w:bottom w:w="90" w:type="dxa"/>
              <w:end w:w="110" w:type="dxa"/>
            </w:tcMar>
          </w:tcPr>
          <w:p>
            <w:pPr>
              <w:spacing w:after="0" w:before="0" w:line="240" w:lineRule="auto"/>
            </w:pPr>
            <w:r>
              <w:rPr>
                <w:sz w:val="18"/>
              </w:rPr>
              <w:t>≈ 30,8 млн ₽</w:t>
            </w:r>
          </w:p>
        </w:tc>
      </w:tr>
    </w:tbl>
    <w:p>
      <w:r>
        <w:t>Право на пакет закрепляется по 1/12 за каждый полный квартал после подтверждения результата. К продаже после пятого года этот первый пакет закреплен полностью. Сумма 30,8 млн ₽ указана до личных налогов и возможных удержаний по условиям сделки.</w:t>
      </w:r>
    </w:p>
    <w:p>
      <w:pPr>
        <w:pStyle w:val="Heading2"/>
      </w:pPr>
      <w:r>
        <w:t>Пример 2. Пять ежегодных пакетов одного человека</w:t>
      </w:r>
    </w:p>
    <w:p>
      <w:r>
        <w:t>Мария каждый год получает целевой пакет 1,0 оклада и зарабатывает 95%, то есть 4,75 млн ₽ по цене начала соответствующего года. Каждый пакет имеет собственную начальную цену и собственный 36-месячный график закрепления права.</w:t>
      </w:r>
    </w:p>
    <w:tbl>
      <w:tblPr>
        <w:tblW w:type="dxa" w:w="8712"/>
        <w:jc w:val="left"/>
        <w:tblLayout w:type="fixed"/>
        <w:tblLook w:firstColumn="1" w:firstRow="1" w:lastColumn="0" w:lastRow="0" w:noHBand="0" w:noVBand="1" w:val="04A0"/>
        <w:tblInd w:w="110" w:type="dxa"/>
        <w:tblBorders>
          <w:top w:val="single" w:sz="4" w:space="0" w:color="AAB2BD"/>
          <w:start w:val="single" w:sz="4" w:space="0" w:color="AAB2BD"/>
          <w:bottom w:val="single" w:sz="4" w:space="0" w:color="AAB2BD"/>
          <w:end w:val="single" w:sz="4" w:space="0" w:color="AAB2BD"/>
          <w:insideH w:val="single" w:sz="4" w:space="0" w:color="AAB2BD"/>
          <w:insideV w:val="single" w:sz="4" w:space="0" w:color="AAB2BD"/>
        </w:tblBorders>
      </w:tblPr>
      <w:tblGrid>
        <w:gridCol w:w="792"/>
        <w:gridCol w:w="2232"/>
        <w:gridCol w:w="2232"/>
        <w:gridCol w:w="1512"/>
        <w:gridCol w:w="1944"/>
      </w:tblGrid>
      <w:tr>
        <w:trPr>
          <w:tblHeader w:val="true"/>
        </w:trPr>
        <w:tc>
          <w:tcPr>
            <w:tcW w:type="dxa" w:w="792"/>
            <w:vAlign w:val="center"/>
            <w:tcMar>
              <w:top w:w="90" w:type="dxa"/>
              <w:start w:w="110" w:type="dxa"/>
              <w:bottom w:w="90" w:type="dxa"/>
              <w:end w:w="110" w:type="dxa"/>
            </w:tcMar>
            <w:shd w:fill="0F1722"/>
          </w:tcPr>
          <w:p>
            <w:pPr>
              <w:spacing w:after="0" w:before="0" w:line="240" w:lineRule="auto"/>
            </w:pPr>
            <w:r>
              <w:rPr>
                <w:b/>
                <w:color w:val="FFFFFF"/>
                <w:sz w:val="17"/>
              </w:rPr>
              <w:t>Год</w:t>
            </w:r>
          </w:p>
        </w:tc>
        <w:tc>
          <w:tcPr>
            <w:tcW w:type="dxa" w:w="2232"/>
            <w:vAlign w:val="center"/>
            <w:tcMar>
              <w:top w:w="90" w:type="dxa"/>
              <w:start w:w="110" w:type="dxa"/>
              <w:bottom w:w="90" w:type="dxa"/>
              <w:end w:w="110" w:type="dxa"/>
            </w:tcMar>
            <w:shd w:fill="0F1722"/>
          </w:tcPr>
          <w:p>
            <w:pPr>
              <w:spacing w:after="0" w:before="0" w:line="240" w:lineRule="auto"/>
            </w:pPr>
            <w:r>
              <w:rPr>
                <w:b/>
                <w:color w:val="FFFFFF"/>
                <w:sz w:val="17"/>
              </w:rPr>
              <w:t>Оценка в начале</w:t>
            </w:r>
          </w:p>
        </w:tc>
        <w:tc>
          <w:tcPr>
            <w:tcW w:type="dxa" w:w="2232"/>
            <w:vAlign w:val="center"/>
            <w:tcMar>
              <w:top w:w="90" w:type="dxa"/>
              <w:start w:w="110" w:type="dxa"/>
              <w:bottom w:w="90" w:type="dxa"/>
              <w:end w:w="110" w:type="dxa"/>
            </w:tcMar>
            <w:shd w:fill="0F1722"/>
          </w:tcPr>
          <w:p>
            <w:pPr>
              <w:spacing w:after="0" w:before="0" w:line="240" w:lineRule="auto"/>
            </w:pPr>
            <w:r>
              <w:rPr>
                <w:b/>
                <w:color w:val="FFFFFF"/>
                <w:sz w:val="17"/>
              </w:rPr>
              <w:t>Пакет / единицы</w:t>
            </w:r>
          </w:p>
        </w:tc>
        <w:tc>
          <w:tcPr>
            <w:tcW w:type="dxa" w:w="1512"/>
            <w:vAlign w:val="center"/>
            <w:tcMar>
              <w:top w:w="90" w:type="dxa"/>
              <w:start w:w="110" w:type="dxa"/>
              <w:bottom w:w="90" w:type="dxa"/>
              <w:end w:w="110" w:type="dxa"/>
            </w:tcMar>
            <w:shd w:fill="0F1722"/>
          </w:tcPr>
          <w:p>
            <w:pPr>
              <w:spacing w:after="0" w:before="0" w:line="240" w:lineRule="auto"/>
            </w:pPr>
            <w:r>
              <w:rPr>
                <w:b/>
                <w:color w:val="FFFFFF"/>
                <w:sz w:val="17"/>
              </w:rPr>
              <w:t>Закреплено</w:t>
            </w:r>
          </w:p>
        </w:tc>
        <w:tc>
          <w:tcPr>
            <w:tcW w:type="dxa" w:w="1944"/>
            <w:vAlign w:val="center"/>
            <w:tcMar>
              <w:top w:w="90" w:type="dxa"/>
              <w:start w:w="110" w:type="dxa"/>
              <w:bottom w:w="90" w:type="dxa"/>
              <w:end w:w="110" w:type="dxa"/>
            </w:tcMar>
            <w:shd w:fill="0F1722"/>
          </w:tcPr>
          <w:p>
            <w:pPr>
              <w:spacing w:after="0" w:before="0" w:line="240" w:lineRule="auto"/>
            </w:pPr>
            <w:r>
              <w:rPr>
                <w:b/>
                <w:color w:val="FFFFFF"/>
                <w:sz w:val="17"/>
              </w:rPr>
              <w:t>Стоимость</w:t>
            </w:r>
          </w:p>
        </w:tc>
      </w:tr>
      <w:tr>
        <w:tc>
          <w:tcPr>
            <w:tcW w:type="dxa" w:w="792"/>
            <w:vAlign w:val="center"/>
            <w:tcMar>
              <w:top w:w="90" w:type="dxa"/>
              <w:start w:w="110" w:type="dxa"/>
              <w:bottom w:w="90" w:type="dxa"/>
              <w:end w:w="110" w:type="dxa"/>
            </w:tcMar>
          </w:tcPr>
          <w:p>
            <w:pPr>
              <w:spacing w:after="0" w:before="0" w:line="240" w:lineRule="auto"/>
            </w:pPr>
            <w:r>
              <w:rPr>
                <w:sz w:val="17"/>
              </w:rPr>
              <w:t>1</w:t>
            </w:r>
          </w:p>
        </w:tc>
        <w:tc>
          <w:tcPr>
            <w:tcW w:type="dxa" w:w="2232"/>
            <w:vAlign w:val="center"/>
            <w:tcMar>
              <w:top w:w="90" w:type="dxa"/>
              <w:start w:w="110" w:type="dxa"/>
              <w:bottom w:w="90" w:type="dxa"/>
              <w:end w:w="110" w:type="dxa"/>
            </w:tcMar>
          </w:tcPr>
          <w:p>
            <w:pPr>
              <w:spacing w:after="0" w:before="0" w:line="240" w:lineRule="auto"/>
            </w:pPr>
            <w:r>
              <w:rPr>
                <w:sz w:val="17"/>
              </w:rPr>
              <w:t>1,6 млрд ₽</w:t>
              <w:br/>
              <w:t>12 ₽/ед.</w:t>
            </w:r>
          </w:p>
        </w:tc>
        <w:tc>
          <w:tcPr>
            <w:tcW w:type="dxa" w:w="2232"/>
            <w:vAlign w:val="center"/>
            <w:tcMar>
              <w:top w:w="90" w:type="dxa"/>
              <w:start w:w="110" w:type="dxa"/>
              <w:bottom w:w="90" w:type="dxa"/>
              <w:end w:w="110" w:type="dxa"/>
            </w:tcMar>
          </w:tcPr>
          <w:p>
            <w:pPr>
              <w:spacing w:after="0" w:before="0" w:line="240" w:lineRule="auto"/>
            </w:pPr>
            <w:r>
              <w:rPr>
                <w:sz w:val="17"/>
              </w:rPr>
              <w:t>4,75 млн ₽</w:t>
              <w:br/>
              <w:t>396 тыс.</w:t>
            </w:r>
          </w:p>
        </w:tc>
        <w:tc>
          <w:tcPr>
            <w:tcW w:type="dxa" w:w="1512"/>
            <w:vAlign w:val="center"/>
            <w:tcMar>
              <w:top w:w="90" w:type="dxa"/>
              <w:start w:w="110" w:type="dxa"/>
              <w:bottom w:w="90" w:type="dxa"/>
              <w:end w:w="110" w:type="dxa"/>
            </w:tcMar>
          </w:tcPr>
          <w:p>
            <w:pPr>
              <w:spacing w:after="0" w:before="0" w:line="240" w:lineRule="auto"/>
            </w:pPr>
            <w:r>
              <w:rPr>
                <w:sz w:val="17"/>
              </w:rPr>
              <w:t>100%</w:t>
            </w:r>
          </w:p>
        </w:tc>
        <w:tc>
          <w:tcPr>
            <w:tcW w:type="dxa" w:w="1944"/>
            <w:vAlign w:val="center"/>
            <w:tcMar>
              <w:top w:w="90" w:type="dxa"/>
              <w:start w:w="110" w:type="dxa"/>
              <w:bottom w:w="90" w:type="dxa"/>
              <w:end w:w="110" w:type="dxa"/>
            </w:tcMar>
          </w:tcPr>
          <w:p>
            <w:pPr>
              <w:spacing w:after="0" w:before="0" w:line="240" w:lineRule="auto"/>
            </w:pPr>
            <w:r>
              <w:rPr>
                <w:sz w:val="17"/>
              </w:rPr>
              <w:t>30,8 млн ₽</w:t>
            </w:r>
          </w:p>
        </w:tc>
      </w:tr>
      <w:tr>
        <w:tc>
          <w:tcPr>
            <w:tcW w:type="dxa" w:w="792"/>
            <w:vAlign w:val="center"/>
            <w:tcMar>
              <w:top w:w="90" w:type="dxa"/>
              <w:start w:w="110" w:type="dxa"/>
              <w:bottom w:w="90" w:type="dxa"/>
              <w:end w:w="110" w:type="dxa"/>
            </w:tcMar>
          </w:tcPr>
          <w:p>
            <w:pPr>
              <w:spacing w:after="0" w:before="0" w:line="240" w:lineRule="auto"/>
            </w:pPr>
            <w:r>
              <w:rPr>
                <w:sz w:val="17"/>
              </w:rPr>
              <w:t>2</w:t>
            </w:r>
          </w:p>
        </w:tc>
        <w:tc>
          <w:tcPr>
            <w:tcW w:type="dxa" w:w="2232"/>
            <w:vAlign w:val="center"/>
            <w:tcMar>
              <w:top w:w="90" w:type="dxa"/>
              <w:start w:w="110" w:type="dxa"/>
              <w:bottom w:w="90" w:type="dxa"/>
              <w:end w:w="110" w:type="dxa"/>
            </w:tcMar>
          </w:tcPr>
          <w:p>
            <w:pPr>
              <w:spacing w:after="0" w:before="0" w:line="240" w:lineRule="auto"/>
            </w:pPr>
            <w:r>
              <w:rPr>
                <w:sz w:val="17"/>
              </w:rPr>
              <w:t>3,6 млрд ₽</w:t>
              <w:br/>
              <w:t>24 ₽/ед.</w:t>
            </w:r>
          </w:p>
        </w:tc>
        <w:tc>
          <w:tcPr>
            <w:tcW w:type="dxa" w:w="2232"/>
            <w:vAlign w:val="center"/>
            <w:tcMar>
              <w:top w:w="90" w:type="dxa"/>
              <w:start w:w="110" w:type="dxa"/>
              <w:bottom w:w="90" w:type="dxa"/>
              <w:end w:w="110" w:type="dxa"/>
            </w:tcMar>
          </w:tcPr>
          <w:p>
            <w:pPr>
              <w:spacing w:after="0" w:before="0" w:line="240" w:lineRule="auto"/>
            </w:pPr>
            <w:r>
              <w:rPr>
                <w:sz w:val="17"/>
              </w:rPr>
              <w:t>4,75 млн ₽</w:t>
              <w:br/>
              <w:t>198 тыс.</w:t>
            </w:r>
          </w:p>
        </w:tc>
        <w:tc>
          <w:tcPr>
            <w:tcW w:type="dxa" w:w="1512"/>
            <w:vAlign w:val="center"/>
            <w:tcMar>
              <w:top w:w="90" w:type="dxa"/>
              <w:start w:w="110" w:type="dxa"/>
              <w:bottom w:w="90" w:type="dxa"/>
              <w:end w:w="110" w:type="dxa"/>
            </w:tcMar>
          </w:tcPr>
          <w:p>
            <w:pPr>
              <w:spacing w:after="0" w:before="0" w:line="240" w:lineRule="auto"/>
            </w:pPr>
            <w:r>
              <w:rPr>
                <w:sz w:val="17"/>
              </w:rPr>
              <w:t>100%</w:t>
            </w:r>
          </w:p>
        </w:tc>
        <w:tc>
          <w:tcPr>
            <w:tcW w:type="dxa" w:w="1944"/>
            <w:vAlign w:val="center"/>
            <w:tcMar>
              <w:top w:w="90" w:type="dxa"/>
              <w:start w:w="110" w:type="dxa"/>
              <w:bottom w:w="90" w:type="dxa"/>
              <w:end w:w="110" w:type="dxa"/>
            </w:tcMar>
          </w:tcPr>
          <w:p>
            <w:pPr>
              <w:spacing w:after="0" w:before="0" w:line="240" w:lineRule="auto"/>
            </w:pPr>
            <w:r>
              <w:rPr>
                <w:sz w:val="17"/>
              </w:rPr>
              <w:t>15,4 млн ₽</w:t>
            </w:r>
          </w:p>
        </w:tc>
      </w:tr>
      <w:tr>
        <w:tc>
          <w:tcPr>
            <w:tcW w:type="dxa" w:w="792"/>
            <w:vAlign w:val="center"/>
            <w:tcMar>
              <w:top w:w="90" w:type="dxa"/>
              <w:start w:w="110" w:type="dxa"/>
              <w:bottom w:w="90" w:type="dxa"/>
              <w:end w:w="110" w:type="dxa"/>
            </w:tcMar>
          </w:tcPr>
          <w:p>
            <w:pPr>
              <w:spacing w:after="0" w:before="0" w:line="240" w:lineRule="auto"/>
            </w:pPr>
            <w:r>
              <w:rPr>
                <w:sz w:val="17"/>
              </w:rPr>
              <w:t>3</w:t>
            </w:r>
          </w:p>
        </w:tc>
        <w:tc>
          <w:tcPr>
            <w:tcW w:type="dxa" w:w="2232"/>
            <w:vAlign w:val="center"/>
            <w:tcMar>
              <w:top w:w="90" w:type="dxa"/>
              <w:start w:w="110" w:type="dxa"/>
              <w:bottom w:w="90" w:type="dxa"/>
              <w:end w:w="110" w:type="dxa"/>
            </w:tcMar>
          </w:tcPr>
          <w:p>
            <w:pPr>
              <w:spacing w:after="0" w:before="0" w:line="240" w:lineRule="auto"/>
            </w:pPr>
            <w:r>
              <w:rPr>
                <w:sz w:val="17"/>
              </w:rPr>
              <w:t>6,36 млрд ₽</w:t>
              <w:br/>
              <w:t>38,4 ₽/ед.</w:t>
            </w:r>
          </w:p>
        </w:tc>
        <w:tc>
          <w:tcPr>
            <w:tcW w:type="dxa" w:w="2232"/>
            <w:vAlign w:val="center"/>
            <w:tcMar>
              <w:top w:w="90" w:type="dxa"/>
              <w:start w:w="110" w:type="dxa"/>
              <w:bottom w:w="90" w:type="dxa"/>
              <w:end w:w="110" w:type="dxa"/>
            </w:tcMar>
          </w:tcPr>
          <w:p>
            <w:pPr>
              <w:spacing w:after="0" w:before="0" w:line="240" w:lineRule="auto"/>
            </w:pPr>
            <w:r>
              <w:rPr>
                <w:sz w:val="17"/>
              </w:rPr>
              <w:t>4,75 млн ₽</w:t>
              <w:br/>
              <w:t>124 тыс.</w:t>
            </w:r>
          </w:p>
        </w:tc>
        <w:tc>
          <w:tcPr>
            <w:tcW w:type="dxa" w:w="1512"/>
            <w:vAlign w:val="center"/>
            <w:tcMar>
              <w:top w:w="90" w:type="dxa"/>
              <w:start w:w="110" w:type="dxa"/>
              <w:bottom w:w="90" w:type="dxa"/>
              <w:end w:w="110" w:type="dxa"/>
            </w:tcMar>
          </w:tcPr>
          <w:p>
            <w:pPr>
              <w:spacing w:after="0" w:before="0" w:line="240" w:lineRule="auto"/>
            </w:pPr>
            <w:r>
              <w:rPr>
                <w:sz w:val="17"/>
              </w:rPr>
              <w:t>66,7%</w:t>
            </w:r>
          </w:p>
        </w:tc>
        <w:tc>
          <w:tcPr>
            <w:tcW w:type="dxa" w:w="1944"/>
            <w:vAlign w:val="center"/>
            <w:tcMar>
              <w:top w:w="90" w:type="dxa"/>
              <w:start w:w="110" w:type="dxa"/>
              <w:bottom w:w="90" w:type="dxa"/>
              <w:end w:w="110" w:type="dxa"/>
            </w:tcMar>
          </w:tcPr>
          <w:p>
            <w:pPr>
              <w:spacing w:after="0" w:before="0" w:line="240" w:lineRule="auto"/>
            </w:pPr>
            <w:r>
              <w:rPr>
                <w:sz w:val="17"/>
              </w:rPr>
              <w:t>6,4 млн ₽</w:t>
            </w:r>
          </w:p>
        </w:tc>
      </w:tr>
      <w:tr>
        <w:tc>
          <w:tcPr>
            <w:tcW w:type="dxa" w:w="792"/>
            <w:vAlign w:val="center"/>
            <w:tcMar>
              <w:top w:w="90" w:type="dxa"/>
              <w:start w:w="110" w:type="dxa"/>
              <w:bottom w:w="90" w:type="dxa"/>
              <w:end w:w="110" w:type="dxa"/>
            </w:tcMar>
          </w:tcPr>
          <w:p>
            <w:pPr>
              <w:spacing w:after="0" w:before="0" w:line="240" w:lineRule="auto"/>
            </w:pPr>
            <w:r>
              <w:rPr>
                <w:sz w:val="17"/>
              </w:rPr>
              <w:t>4</w:t>
            </w:r>
          </w:p>
        </w:tc>
        <w:tc>
          <w:tcPr>
            <w:tcW w:type="dxa" w:w="2232"/>
            <w:vAlign w:val="center"/>
            <w:tcMar>
              <w:top w:w="90" w:type="dxa"/>
              <w:start w:w="110" w:type="dxa"/>
              <w:bottom w:w="90" w:type="dxa"/>
              <w:end w:w="110" w:type="dxa"/>
            </w:tcMar>
          </w:tcPr>
          <w:p>
            <w:pPr>
              <w:spacing w:after="0" w:before="0" w:line="240" w:lineRule="auto"/>
            </w:pPr>
            <w:r>
              <w:rPr>
                <w:sz w:val="17"/>
              </w:rPr>
              <w:t>10,216 млрд ₽</w:t>
              <w:br/>
              <w:t>55,64 ₽/ед.</w:t>
            </w:r>
          </w:p>
        </w:tc>
        <w:tc>
          <w:tcPr>
            <w:tcW w:type="dxa" w:w="2232"/>
            <w:vAlign w:val="center"/>
            <w:tcMar>
              <w:top w:w="90" w:type="dxa"/>
              <w:start w:w="110" w:type="dxa"/>
              <w:bottom w:w="90" w:type="dxa"/>
              <w:end w:w="110" w:type="dxa"/>
            </w:tcMar>
          </w:tcPr>
          <w:p>
            <w:pPr>
              <w:spacing w:after="0" w:before="0" w:line="240" w:lineRule="auto"/>
            </w:pPr>
            <w:r>
              <w:rPr>
                <w:sz w:val="17"/>
              </w:rPr>
              <w:t>4,75 млн ₽</w:t>
              <w:br/>
              <w:t>85 тыс.</w:t>
            </w:r>
          </w:p>
        </w:tc>
        <w:tc>
          <w:tcPr>
            <w:tcW w:type="dxa" w:w="1512"/>
            <w:vAlign w:val="center"/>
            <w:tcMar>
              <w:top w:w="90" w:type="dxa"/>
              <w:start w:w="110" w:type="dxa"/>
              <w:bottom w:w="90" w:type="dxa"/>
              <w:end w:w="110" w:type="dxa"/>
            </w:tcMar>
          </w:tcPr>
          <w:p>
            <w:pPr>
              <w:spacing w:after="0" w:before="0" w:line="240" w:lineRule="auto"/>
            </w:pPr>
            <w:r>
              <w:rPr>
                <w:sz w:val="17"/>
              </w:rPr>
              <w:t>33,3%</w:t>
            </w:r>
          </w:p>
        </w:tc>
        <w:tc>
          <w:tcPr>
            <w:tcW w:type="dxa" w:w="1944"/>
            <w:vAlign w:val="center"/>
            <w:tcMar>
              <w:top w:w="90" w:type="dxa"/>
              <w:start w:w="110" w:type="dxa"/>
              <w:bottom w:w="90" w:type="dxa"/>
              <w:end w:w="110" w:type="dxa"/>
            </w:tcMar>
          </w:tcPr>
          <w:p>
            <w:pPr>
              <w:spacing w:after="0" w:before="0" w:line="240" w:lineRule="auto"/>
            </w:pPr>
            <w:r>
              <w:rPr>
                <w:sz w:val="17"/>
              </w:rPr>
              <w:t>2,2 млн ₽</w:t>
            </w:r>
          </w:p>
        </w:tc>
      </w:tr>
      <w:tr>
        <w:tc>
          <w:tcPr>
            <w:tcW w:type="dxa" w:w="792"/>
            <w:vAlign w:val="center"/>
            <w:tcMar>
              <w:top w:w="90" w:type="dxa"/>
              <w:start w:w="110" w:type="dxa"/>
              <w:bottom w:w="90" w:type="dxa"/>
              <w:end w:w="110" w:type="dxa"/>
            </w:tcMar>
          </w:tcPr>
          <w:p>
            <w:pPr>
              <w:spacing w:after="0" w:before="0" w:line="240" w:lineRule="auto"/>
            </w:pPr>
            <w:r>
              <w:rPr>
                <w:sz w:val="17"/>
              </w:rPr>
              <w:t>5</w:t>
            </w:r>
          </w:p>
        </w:tc>
        <w:tc>
          <w:tcPr>
            <w:tcW w:type="dxa" w:w="2232"/>
            <w:vAlign w:val="center"/>
            <w:tcMar>
              <w:top w:w="90" w:type="dxa"/>
              <w:start w:w="110" w:type="dxa"/>
              <w:bottom w:w="90" w:type="dxa"/>
              <w:end w:w="110" w:type="dxa"/>
            </w:tcMar>
          </w:tcPr>
          <w:p>
            <w:pPr>
              <w:spacing w:after="0" w:before="0" w:line="240" w:lineRule="auto"/>
            </w:pPr>
            <w:r>
              <w:rPr>
                <w:sz w:val="17"/>
              </w:rPr>
              <w:t>14,963 млрд ₽</w:t>
              <w:br/>
              <w:t>72,79 ₽/ед.</w:t>
            </w:r>
          </w:p>
        </w:tc>
        <w:tc>
          <w:tcPr>
            <w:tcW w:type="dxa" w:w="2232"/>
            <w:vAlign w:val="center"/>
            <w:tcMar>
              <w:top w:w="90" w:type="dxa"/>
              <w:start w:w="110" w:type="dxa"/>
              <w:bottom w:w="90" w:type="dxa"/>
              <w:end w:w="110" w:type="dxa"/>
            </w:tcMar>
          </w:tcPr>
          <w:p>
            <w:pPr>
              <w:spacing w:after="0" w:before="0" w:line="240" w:lineRule="auto"/>
            </w:pPr>
            <w:r>
              <w:rPr>
                <w:sz w:val="17"/>
              </w:rPr>
              <w:t>4,75 млн ₽</w:t>
              <w:br/>
              <w:t>65 тыс.</w:t>
            </w:r>
          </w:p>
        </w:tc>
        <w:tc>
          <w:tcPr>
            <w:tcW w:type="dxa" w:w="1512"/>
            <w:vAlign w:val="center"/>
            <w:tcMar>
              <w:top w:w="90" w:type="dxa"/>
              <w:start w:w="110" w:type="dxa"/>
              <w:bottom w:w="90" w:type="dxa"/>
              <w:end w:w="110" w:type="dxa"/>
            </w:tcMar>
          </w:tcPr>
          <w:p>
            <w:pPr>
              <w:spacing w:after="0" w:before="0" w:line="240" w:lineRule="auto"/>
            </w:pPr>
            <w:r>
              <w:rPr>
                <w:sz w:val="17"/>
              </w:rPr>
              <w:t>0%</w:t>
            </w:r>
          </w:p>
        </w:tc>
        <w:tc>
          <w:tcPr>
            <w:tcW w:type="dxa" w:w="1944"/>
            <w:vAlign w:val="center"/>
            <w:tcMar>
              <w:top w:w="90" w:type="dxa"/>
              <w:start w:w="110" w:type="dxa"/>
              <w:bottom w:w="90" w:type="dxa"/>
              <w:end w:w="110" w:type="dxa"/>
            </w:tcMar>
          </w:tcPr>
          <w:p>
            <w:pPr>
              <w:spacing w:after="0" w:before="0" w:line="240" w:lineRule="auto"/>
            </w:pPr>
            <w:r>
              <w:rPr>
                <w:sz w:val="17"/>
              </w:rPr>
              <w:t>0 млн ₽</w:t>
            </w:r>
          </w:p>
        </w:tc>
      </w:tr>
      <w:tr>
        <w:tc>
          <w:tcPr>
            <w:tcW w:type="dxa" w:w="792"/>
            <w:vAlign w:val="center"/>
            <w:tcMar>
              <w:top w:w="90" w:type="dxa"/>
              <w:start w:w="110" w:type="dxa"/>
              <w:bottom w:w="90" w:type="dxa"/>
              <w:end w:w="110" w:type="dxa"/>
            </w:tcMar>
          </w:tcPr>
          <w:p>
            <w:pPr>
              <w:spacing w:after="0" w:before="0" w:line="240" w:lineRule="auto"/>
            </w:pPr>
            <w:r>
              <w:rPr>
                <w:sz w:val="17"/>
              </w:rPr>
              <w:t>Итого</w:t>
            </w:r>
          </w:p>
        </w:tc>
        <w:tc>
          <w:tcPr>
            <w:tcW w:type="dxa" w:w="2232"/>
            <w:vAlign w:val="center"/>
            <w:tcMar>
              <w:top w:w="90" w:type="dxa"/>
              <w:start w:w="110" w:type="dxa"/>
              <w:bottom w:w="90" w:type="dxa"/>
              <w:end w:w="110" w:type="dxa"/>
            </w:tcMar>
          </w:tcPr>
          <w:p>
            <w:pPr>
              <w:spacing w:after="0" w:before="0" w:line="240" w:lineRule="auto"/>
            </w:pPr>
            <w:r>
              <w:rPr>
                <w:sz w:val="17"/>
              </w:rPr>
              <w:t>—</w:t>
            </w:r>
          </w:p>
        </w:tc>
        <w:tc>
          <w:tcPr>
            <w:tcW w:type="dxa" w:w="2232"/>
            <w:vAlign w:val="center"/>
            <w:tcMar>
              <w:top w:w="90" w:type="dxa"/>
              <w:start w:w="110" w:type="dxa"/>
              <w:bottom w:w="90" w:type="dxa"/>
              <w:end w:w="110" w:type="dxa"/>
            </w:tcMar>
          </w:tcPr>
          <w:p>
            <w:pPr>
              <w:spacing w:after="0" w:before="0" w:line="240" w:lineRule="auto"/>
            </w:pPr>
            <w:r>
              <w:rPr>
                <w:sz w:val="17"/>
              </w:rPr>
              <w:t>23,75 млн ₽</w:t>
              <w:br/>
              <w:t>868 тыс.</w:t>
            </w:r>
          </w:p>
        </w:tc>
        <w:tc>
          <w:tcPr>
            <w:tcW w:type="dxa" w:w="1512"/>
            <w:vAlign w:val="center"/>
            <w:tcMar>
              <w:top w:w="90" w:type="dxa"/>
              <w:start w:w="110" w:type="dxa"/>
              <w:bottom w:w="90" w:type="dxa"/>
              <w:end w:w="110" w:type="dxa"/>
            </w:tcMar>
          </w:tcPr>
          <w:p>
            <w:pPr>
              <w:spacing w:after="0" w:before="0" w:line="240" w:lineRule="auto"/>
            </w:pPr>
            <w:r>
              <w:rPr>
                <w:sz w:val="17"/>
              </w:rPr>
              <w:t>по годам</w:t>
            </w:r>
          </w:p>
        </w:tc>
        <w:tc>
          <w:tcPr>
            <w:tcW w:type="dxa" w:w="1944"/>
            <w:vAlign w:val="center"/>
            <w:tcMar>
              <w:top w:w="90" w:type="dxa"/>
              <w:start w:w="110" w:type="dxa"/>
              <w:bottom w:w="90" w:type="dxa"/>
              <w:end w:w="110" w:type="dxa"/>
            </w:tcMar>
          </w:tcPr>
          <w:p>
            <w:pPr>
              <w:spacing w:after="0" w:before="0" w:line="240" w:lineRule="auto"/>
            </w:pPr>
            <w:r>
              <w:rPr>
                <w:sz w:val="17"/>
              </w:rPr>
              <w:t>54,8 млн ₽</w:t>
            </w:r>
          </w:p>
        </w:tc>
      </w:tr>
    </w:tbl>
    <w:p>
      <w:r>
        <w:t>К продаже первые два пакета закреплены полностью, третий — на две трети, четвертый — на одну треть, пятый еще не начал закрепляться. Поэтому программа может быть почти полностью распределена, хотя не все права уже закрепились. Условная стоимость закрепившейся части пяти пакетов Марии — около 54,8 млн ₽.</w:t>
      </w:r>
    </w:p>
    <w:p>
      <w:pPr>
        <w:pStyle w:val="Heading2"/>
      </w:pPr>
      <w:r>
        <w:t>Пример 3. Пять вложений и совокупное размытие</w:t>
      </w:r>
    </w:p>
    <w:tbl>
      <w:tblPr>
        <w:tblW w:type="dxa" w:w="8928"/>
        <w:jc w:val="left"/>
        <w:tblLayout w:type="fixed"/>
        <w:tblLook w:firstColumn="1" w:firstRow="1" w:lastColumn="0" w:lastRow="0" w:noHBand="0" w:noVBand="1" w:val="04A0"/>
        <w:tblInd w:w="110" w:type="dxa"/>
        <w:tblBorders>
          <w:top w:val="single" w:sz="4" w:space="0" w:color="AAB2BD"/>
          <w:start w:val="single" w:sz="4" w:space="0" w:color="AAB2BD"/>
          <w:bottom w:val="single" w:sz="4" w:space="0" w:color="AAB2BD"/>
          <w:end w:val="single" w:sz="4" w:space="0" w:color="AAB2BD"/>
          <w:insideH w:val="single" w:sz="4" w:space="0" w:color="AAB2BD"/>
          <w:insideV w:val="single" w:sz="4" w:space="0" w:color="AAB2BD"/>
        </w:tblBorders>
      </w:tblPr>
      <w:tblGrid>
        <w:gridCol w:w="720"/>
        <w:gridCol w:w="3456"/>
        <w:gridCol w:w="1800"/>
        <w:gridCol w:w="1512"/>
        <w:gridCol w:w="1440"/>
      </w:tblGrid>
      <w:tr>
        <w:trPr>
          <w:tblHeader w:val="true"/>
        </w:trPr>
        <w:tc>
          <w:tcPr>
            <w:tcW w:type="dxa" w:w="720"/>
            <w:vAlign w:val="center"/>
            <w:tcMar>
              <w:top w:w="90" w:type="dxa"/>
              <w:start w:w="110" w:type="dxa"/>
              <w:bottom w:w="90" w:type="dxa"/>
              <w:end w:w="110" w:type="dxa"/>
            </w:tcMar>
            <w:shd w:fill="0F1722"/>
          </w:tcPr>
          <w:p>
            <w:pPr>
              <w:spacing w:after="0" w:before="0" w:line="240" w:lineRule="auto"/>
            </w:pPr>
            <w:r>
              <w:rPr>
                <w:b/>
                <w:color w:val="FFFFFF"/>
                <w:sz w:val="17"/>
              </w:rPr>
              <w:t>Год</w:t>
            </w:r>
          </w:p>
        </w:tc>
        <w:tc>
          <w:tcPr>
            <w:tcW w:type="dxa" w:w="3456"/>
            <w:vAlign w:val="center"/>
            <w:tcMar>
              <w:top w:w="90" w:type="dxa"/>
              <w:start w:w="110" w:type="dxa"/>
              <w:bottom w:w="90" w:type="dxa"/>
              <w:end w:w="110" w:type="dxa"/>
            </w:tcMar>
            <w:shd w:fill="0F1722"/>
          </w:tcPr>
          <w:p>
            <w:pPr>
              <w:spacing w:after="0" w:before="0" w:line="240" w:lineRule="auto"/>
            </w:pPr>
            <w:r>
              <w:rPr>
                <w:b/>
                <w:color w:val="FFFFFF"/>
                <w:sz w:val="17"/>
              </w:rPr>
              <w:t>До / вложение / после</w:t>
            </w:r>
          </w:p>
        </w:tc>
        <w:tc>
          <w:tcPr>
            <w:tcW w:type="dxa" w:w="1800"/>
            <w:vAlign w:val="center"/>
            <w:tcMar>
              <w:top w:w="90" w:type="dxa"/>
              <w:start w:w="110" w:type="dxa"/>
              <w:bottom w:w="90" w:type="dxa"/>
              <w:end w:w="110" w:type="dxa"/>
            </w:tcMar>
            <w:shd w:fill="0F1722"/>
          </w:tcPr>
          <w:p>
            <w:pPr>
              <w:spacing w:after="0" w:before="0" w:line="240" w:lineRule="auto"/>
            </w:pPr>
            <w:r>
              <w:rPr>
                <w:b/>
                <w:color w:val="FFFFFF"/>
                <w:sz w:val="17"/>
              </w:rPr>
              <w:t>Всего единиц</w:t>
            </w:r>
          </w:p>
        </w:tc>
        <w:tc>
          <w:tcPr>
            <w:tcW w:type="dxa" w:w="1512"/>
            <w:vAlign w:val="center"/>
            <w:tcMar>
              <w:top w:w="90" w:type="dxa"/>
              <w:start w:w="110" w:type="dxa"/>
              <w:bottom w:w="90" w:type="dxa"/>
              <w:end w:w="110" w:type="dxa"/>
            </w:tcMar>
            <w:shd w:fill="0F1722"/>
          </w:tcPr>
          <w:p>
            <w:pPr>
              <w:spacing w:after="0" w:before="0" w:line="240" w:lineRule="auto"/>
            </w:pPr>
            <w:r>
              <w:rPr>
                <w:b/>
                <w:color w:val="FFFFFF"/>
                <w:sz w:val="17"/>
              </w:rPr>
              <w:t>Доля резерва</w:t>
            </w:r>
          </w:p>
        </w:tc>
        <w:tc>
          <w:tcPr>
            <w:tcW w:type="dxa" w:w="1440"/>
            <w:vAlign w:val="center"/>
            <w:tcMar>
              <w:top w:w="90" w:type="dxa"/>
              <w:start w:w="110" w:type="dxa"/>
              <w:bottom w:w="90" w:type="dxa"/>
              <w:end w:w="110" w:type="dxa"/>
            </w:tcMar>
            <w:shd w:fill="0F1722"/>
          </w:tcPr>
          <w:p>
            <w:pPr>
              <w:spacing w:after="0" w:before="0" w:line="240" w:lineRule="auto"/>
            </w:pPr>
            <w:r>
              <w:rPr>
                <w:b/>
                <w:color w:val="FFFFFF"/>
                <w:sz w:val="17"/>
              </w:rPr>
              <w:t>Размытие</w:t>
            </w:r>
          </w:p>
        </w:tc>
      </w:tr>
      <w:tr>
        <w:tc>
          <w:tcPr>
            <w:tcW w:type="dxa" w:w="720"/>
            <w:vAlign w:val="center"/>
            <w:tcMar>
              <w:top w:w="90" w:type="dxa"/>
              <w:start w:w="110" w:type="dxa"/>
              <w:bottom w:w="90" w:type="dxa"/>
              <w:end w:w="110" w:type="dxa"/>
            </w:tcMar>
          </w:tcPr>
          <w:p>
            <w:pPr>
              <w:spacing w:after="0" w:before="0" w:line="240" w:lineRule="auto"/>
            </w:pPr>
            <w:r>
              <w:rPr>
                <w:sz w:val="17"/>
              </w:rPr>
              <w:t>1</w:t>
            </w:r>
          </w:p>
        </w:tc>
        <w:tc>
          <w:tcPr>
            <w:tcW w:type="dxa" w:w="3456"/>
            <w:vAlign w:val="center"/>
            <w:tcMar>
              <w:top w:w="90" w:type="dxa"/>
              <w:start w:w="110" w:type="dxa"/>
              <w:bottom w:w="90" w:type="dxa"/>
              <w:end w:w="110" w:type="dxa"/>
            </w:tcMar>
          </w:tcPr>
          <w:p>
            <w:pPr>
              <w:spacing w:after="0" w:before="0" w:line="240" w:lineRule="auto"/>
            </w:pPr>
            <w:r>
              <w:rPr>
                <w:sz w:val="17"/>
              </w:rPr>
              <w:t>1,2 / 0,4 / 1,6 млрд ₽</w:t>
            </w:r>
          </w:p>
        </w:tc>
        <w:tc>
          <w:tcPr>
            <w:tcW w:type="dxa" w:w="1800"/>
            <w:vAlign w:val="center"/>
            <w:tcMar>
              <w:top w:w="90" w:type="dxa"/>
              <w:start w:w="110" w:type="dxa"/>
              <w:bottom w:w="90" w:type="dxa"/>
              <w:end w:w="110" w:type="dxa"/>
            </w:tcMar>
          </w:tcPr>
          <w:p>
            <w:pPr>
              <w:spacing w:after="0" w:before="0" w:line="240" w:lineRule="auto"/>
            </w:pPr>
            <w:r>
              <w:rPr>
                <w:sz w:val="17"/>
              </w:rPr>
              <w:t>133,333 млн</w:t>
            </w:r>
          </w:p>
        </w:tc>
        <w:tc>
          <w:tcPr>
            <w:tcW w:type="dxa" w:w="1512"/>
            <w:vAlign w:val="center"/>
            <w:tcMar>
              <w:top w:w="90" w:type="dxa"/>
              <w:start w:w="110" w:type="dxa"/>
              <w:bottom w:w="90" w:type="dxa"/>
              <w:end w:w="110" w:type="dxa"/>
            </w:tcMar>
          </w:tcPr>
          <w:p>
            <w:pPr>
              <w:spacing w:after="0" w:before="0" w:line="240" w:lineRule="auto"/>
            </w:pPr>
            <w:r>
              <w:rPr>
                <w:sz w:val="17"/>
              </w:rPr>
              <w:t>7,5%</w:t>
            </w:r>
          </w:p>
        </w:tc>
        <w:tc>
          <w:tcPr>
            <w:tcW w:type="dxa" w:w="1440"/>
            <w:vAlign w:val="center"/>
            <w:tcMar>
              <w:top w:w="90" w:type="dxa"/>
              <w:start w:w="110" w:type="dxa"/>
              <w:bottom w:w="90" w:type="dxa"/>
              <w:end w:w="110" w:type="dxa"/>
            </w:tcMar>
          </w:tcPr>
          <w:p>
            <w:pPr>
              <w:spacing w:after="0" w:before="0" w:line="240" w:lineRule="auto"/>
            </w:pPr>
            <w:r>
              <w:rPr>
                <w:sz w:val="17"/>
              </w:rPr>
              <w:t>25%</w:t>
            </w:r>
          </w:p>
        </w:tc>
      </w:tr>
      <w:tr>
        <w:tc>
          <w:tcPr>
            <w:tcW w:type="dxa" w:w="720"/>
            <w:vAlign w:val="center"/>
            <w:tcMar>
              <w:top w:w="90" w:type="dxa"/>
              <w:start w:w="110" w:type="dxa"/>
              <w:bottom w:w="90" w:type="dxa"/>
              <w:end w:w="110" w:type="dxa"/>
            </w:tcMar>
          </w:tcPr>
          <w:p>
            <w:pPr>
              <w:spacing w:after="0" w:before="0" w:line="240" w:lineRule="auto"/>
            </w:pPr>
            <w:r>
              <w:rPr>
                <w:sz w:val="17"/>
              </w:rPr>
              <w:t>2</w:t>
            </w:r>
          </w:p>
        </w:tc>
        <w:tc>
          <w:tcPr>
            <w:tcW w:type="dxa" w:w="3456"/>
            <w:vAlign w:val="center"/>
            <w:tcMar>
              <w:top w:w="90" w:type="dxa"/>
              <w:start w:w="110" w:type="dxa"/>
              <w:bottom w:w="90" w:type="dxa"/>
              <w:end w:w="110" w:type="dxa"/>
            </w:tcMar>
          </w:tcPr>
          <w:p>
            <w:pPr>
              <w:spacing w:after="0" w:before="0" w:line="240" w:lineRule="auto"/>
            </w:pPr>
            <w:r>
              <w:rPr>
                <w:sz w:val="17"/>
              </w:rPr>
              <w:t>3,2 / 0,4 / 3,6 млрд ₽</w:t>
            </w:r>
          </w:p>
        </w:tc>
        <w:tc>
          <w:tcPr>
            <w:tcW w:type="dxa" w:w="1800"/>
            <w:vAlign w:val="center"/>
            <w:tcMar>
              <w:top w:w="90" w:type="dxa"/>
              <w:start w:w="110" w:type="dxa"/>
              <w:bottom w:w="90" w:type="dxa"/>
              <w:end w:w="110" w:type="dxa"/>
            </w:tcMar>
          </w:tcPr>
          <w:p>
            <w:pPr>
              <w:spacing w:after="0" w:before="0" w:line="240" w:lineRule="auto"/>
            </w:pPr>
            <w:r>
              <w:rPr>
                <w:sz w:val="17"/>
              </w:rPr>
              <w:t>150 млн</w:t>
            </w:r>
          </w:p>
        </w:tc>
        <w:tc>
          <w:tcPr>
            <w:tcW w:type="dxa" w:w="1512"/>
            <w:vAlign w:val="center"/>
            <w:tcMar>
              <w:top w:w="90" w:type="dxa"/>
              <w:start w:w="110" w:type="dxa"/>
              <w:bottom w:w="90" w:type="dxa"/>
              <w:end w:w="110" w:type="dxa"/>
            </w:tcMar>
          </w:tcPr>
          <w:p>
            <w:pPr>
              <w:spacing w:after="0" w:before="0" w:line="240" w:lineRule="auto"/>
            </w:pPr>
            <w:r>
              <w:rPr>
                <w:sz w:val="17"/>
              </w:rPr>
              <w:t>6,67%</w:t>
            </w:r>
          </w:p>
        </w:tc>
        <w:tc>
          <w:tcPr>
            <w:tcW w:type="dxa" w:w="1440"/>
            <w:vAlign w:val="center"/>
            <w:tcMar>
              <w:top w:w="90" w:type="dxa"/>
              <w:start w:w="110" w:type="dxa"/>
              <w:bottom w:w="90" w:type="dxa"/>
              <w:end w:w="110" w:type="dxa"/>
            </w:tcMar>
          </w:tcPr>
          <w:p>
            <w:pPr>
              <w:spacing w:after="0" w:before="0" w:line="240" w:lineRule="auto"/>
            </w:pPr>
            <w:r>
              <w:rPr>
                <w:sz w:val="17"/>
              </w:rPr>
              <w:t>33,3%</w:t>
            </w:r>
          </w:p>
        </w:tc>
      </w:tr>
      <w:tr>
        <w:tc>
          <w:tcPr>
            <w:tcW w:type="dxa" w:w="720"/>
            <w:vAlign w:val="center"/>
            <w:tcMar>
              <w:top w:w="90" w:type="dxa"/>
              <w:start w:w="110" w:type="dxa"/>
              <w:bottom w:w="90" w:type="dxa"/>
              <w:end w:w="110" w:type="dxa"/>
            </w:tcMar>
          </w:tcPr>
          <w:p>
            <w:pPr>
              <w:spacing w:after="0" w:before="0" w:line="240" w:lineRule="auto"/>
            </w:pPr>
            <w:r>
              <w:rPr>
                <w:sz w:val="17"/>
              </w:rPr>
              <w:t>3</w:t>
            </w:r>
          </w:p>
        </w:tc>
        <w:tc>
          <w:tcPr>
            <w:tcW w:type="dxa" w:w="3456"/>
            <w:vAlign w:val="center"/>
            <w:tcMar>
              <w:top w:w="90" w:type="dxa"/>
              <w:start w:w="110" w:type="dxa"/>
              <w:bottom w:w="90" w:type="dxa"/>
              <w:end w:w="110" w:type="dxa"/>
            </w:tcMar>
          </w:tcPr>
          <w:p>
            <w:pPr>
              <w:spacing w:after="0" w:before="0" w:line="240" w:lineRule="auto"/>
            </w:pPr>
            <w:r>
              <w:rPr>
                <w:sz w:val="17"/>
              </w:rPr>
              <w:t>5,76 / 0,6 / 6,36 млрд ₽</w:t>
            </w:r>
          </w:p>
        </w:tc>
        <w:tc>
          <w:tcPr>
            <w:tcW w:type="dxa" w:w="1800"/>
            <w:vAlign w:val="center"/>
            <w:tcMar>
              <w:top w:w="90" w:type="dxa"/>
              <w:start w:w="110" w:type="dxa"/>
              <w:bottom w:w="90" w:type="dxa"/>
              <w:end w:w="110" w:type="dxa"/>
            </w:tcMar>
          </w:tcPr>
          <w:p>
            <w:pPr>
              <w:spacing w:after="0" w:before="0" w:line="240" w:lineRule="auto"/>
            </w:pPr>
            <w:r>
              <w:rPr>
                <w:sz w:val="17"/>
              </w:rPr>
              <w:t>165,625 млн</w:t>
            </w:r>
          </w:p>
        </w:tc>
        <w:tc>
          <w:tcPr>
            <w:tcW w:type="dxa" w:w="1512"/>
            <w:vAlign w:val="center"/>
            <w:tcMar>
              <w:top w:w="90" w:type="dxa"/>
              <w:start w:w="110" w:type="dxa"/>
              <w:bottom w:w="90" w:type="dxa"/>
              <w:end w:w="110" w:type="dxa"/>
            </w:tcMar>
          </w:tcPr>
          <w:p>
            <w:pPr>
              <w:spacing w:after="0" w:before="0" w:line="240" w:lineRule="auto"/>
            </w:pPr>
            <w:r>
              <w:rPr>
                <w:sz w:val="17"/>
              </w:rPr>
              <w:t>6,04%</w:t>
            </w:r>
          </w:p>
        </w:tc>
        <w:tc>
          <w:tcPr>
            <w:tcW w:type="dxa" w:w="1440"/>
            <w:vAlign w:val="center"/>
            <w:tcMar>
              <w:top w:w="90" w:type="dxa"/>
              <w:start w:w="110" w:type="dxa"/>
              <w:bottom w:w="90" w:type="dxa"/>
              <w:end w:w="110" w:type="dxa"/>
            </w:tcMar>
          </w:tcPr>
          <w:p>
            <w:pPr>
              <w:spacing w:after="0" w:before="0" w:line="240" w:lineRule="auto"/>
            </w:pPr>
            <w:r>
              <w:rPr>
                <w:sz w:val="17"/>
              </w:rPr>
              <w:t>39,6%</w:t>
            </w:r>
          </w:p>
        </w:tc>
      </w:tr>
      <w:tr>
        <w:tc>
          <w:tcPr>
            <w:tcW w:type="dxa" w:w="720"/>
            <w:vAlign w:val="center"/>
            <w:tcMar>
              <w:top w:w="90" w:type="dxa"/>
              <w:start w:w="110" w:type="dxa"/>
              <w:bottom w:w="90" w:type="dxa"/>
              <w:end w:w="110" w:type="dxa"/>
            </w:tcMar>
          </w:tcPr>
          <w:p>
            <w:pPr>
              <w:spacing w:after="0" w:before="0" w:line="240" w:lineRule="auto"/>
            </w:pPr>
            <w:r>
              <w:rPr>
                <w:sz w:val="17"/>
              </w:rPr>
              <w:t>4</w:t>
            </w:r>
          </w:p>
        </w:tc>
        <w:tc>
          <w:tcPr>
            <w:tcW w:type="dxa" w:w="3456"/>
            <w:vAlign w:val="center"/>
            <w:tcMar>
              <w:top w:w="90" w:type="dxa"/>
              <w:start w:w="110" w:type="dxa"/>
              <w:bottom w:w="90" w:type="dxa"/>
              <w:end w:w="110" w:type="dxa"/>
            </w:tcMar>
          </w:tcPr>
          <w:p>
            <w:pPr>
              <w:spacing w:after="0" w:before="0" w:line="240" w:lineRule="auto"/>
            </w:pPr>
            <w:r>
              <w:rPr>
                <w:sz w:val="17"/>
              </w:rPr>
              <w:t>9,216 / 1 / 10,216 млрд ₽</w:t>
            </w:r>
          </w:p>
        </w:tc>
        <w:tc>
          <w:tcPr>
            <w:tcW w:type="dxa" w:w="1800"/>
            <w:vAlign w:val="center"/>
            <w:tcMar>
              <w:top w:w="90" w:type="dxa"/>
              <w:start w:w="110" w:type="dxa"/>
              <w:bottom w:w="90" w:type="dxa"/>
              <w:end w:w="110" w:type="dxa"/>
            </w:tcMar>
          </w:tcPr>
          <w:p>
            <w:pPr>
              <w:spacing w:after="0" w:before="0" w:line="240" w:lineRule="auto"/>
            </w:pPr>
            <w:r>
              <w:rPr>
                <w:sz w:val="17"/>
              </w:rPr>
              <w:t>183,596 млн</w:t>
            </w:r>
          </w:p>
        </w:tc>
        <w:tc>
          <w:tcPr>
            <w:tcW w:type="dxa" w:w="1512"/>
            <w:vAlign w:val="center"/>
            <w:tcMar>
              <w:top w:w="90" w:type="dxa"/>
              <w:start w:w="110" w:type="dxa"/>
              <w:bottom w:w="90" w:type="dxa"/>
              <w:end w:w="110" w:type="dxa"/>
            </w:tcMar>
          </w:tcPr>
          <w:p>
            <w:pPr>
              <w:spacing w:after="0" w:before="0" w:line="240" w:lineRule="auto"/>
            </w:pPr>
            <w:r>
              <w:rPr>
                <w:sz w:val="17"/>
              </w:rPr>
              <w:t>5,45%</w:t>
            </w:r>
          </w:p>
        </w:tc>
        <w:tc>
          <w:tcPr>
            <w:tcW w:type="dxa" w:w="1440"/>
            <w:vAlign w:val="center"/>
            <w:tcMar>
              <w:top w:w="90" w:type="dxa"/>
              <w:start w:w="110" w:type="dxa"/>
              <w:bottom w:w="90" w:type="dxa"/>
              <w:end w:w="110" w:type="dxa"/>
            </w:tcMar>
          </w:tcPr>
          <w:p>
            <w:pPr>
              <w:spacing w:after="0" w:before="0" w:line="240" w:lineRule="auto"/>
            </w:pPr>
            <w:r>
              <w:rPr>
                <w:sz w:val="17"/>
              </w:rPr>
              <w:t>45,5%</w:t>
            </w:r>
          </w:p>
        </w:tc>
      </w:tr>
      <w:tr>
        <w:tc>
          <w:tcPr>
            <w:tcW w:type="dxa" w:w="720"/>
            <w:vAlign w:val="center"/>
            <w:tcMar>
              <w:top w:w="90" w:type="dxa"/>
              <w:start w:w="110" w:type="dxa"/>
              <w:bottom w:w="90" w:type="dxa"/>
              <w:end w:w="110" w:type="dxa"/>
            </w:tcMar>
          </w:tcPr>
          <w:p>
            <w:pPr>
              <w:spacing w:after="0" w:before="0" w:line="240" w:lineRule="auto"/>
            </w:pPr>
            <w:r>
              <w:rPr>
                <w:sz w:val="17"/>
              </w:rPr>
              <w:t>5</w:t>
            </w:r>
          </w:p>
        </w:tc>
        <w:tc>
          <w:tcPr>
            <w:tcW w:type="dxa" w:w="3456"/>
            <w:vAlign w:val="center"/>
            <w:tcMar>
              <w:top w:w="90" w:type="dxa"/>
              <w:start w:w="110" w:type="dxa"/>
              <w:bottom w:w="90" w:type="dxa"/>
              <w:end w:w="110" w:type="dxa"/>
            </w:tcMar>
          </w:tcPr>
          <w:p>
            <w:pPr>
              <w:spacing w:after="0" w:before="0" w:line="240" w:lineRule="auto"/>
            </w:pPr>
            <w:r>
              <w:rPr>
                <w:sz w:val="17"/>
              </w:rPr>
              <w:t>13,363 / 1,6 / 14,963 млрд ₽</w:t>
            </w:r>
          </w:p>
        </w:tc>
        <w:tc>
          <w:tcPr>
            <w:tcW w:type="dxa" w:w="1800"/>
            <w:vAlign w:val="center"/>
            <w:tcMar>
              <w:top w:w="90" w:type="dxa"/>
              <w:start w:w="110" w:type="dxa"/>
              <w:bottom w:w="90" w:type="dxa"/>
              <w:end w:w="110" w:type="dxa"/>
            </w:tcMar>
          </w:tcPr>
          <w:p>
            <w:pPr>
              <w:spacing w:after="0" w:before="0" w:line="240" w:lineRule="auto"/>
            </w:pPr>
            <w:r>
              <w:rPr>
                <w:sz w:val="17"/>
              </w:rPr>
              <w:t>205,579 млн</w:t>
            </w:r>
          </w:p>
        </w:tc>
        <w:tc>
          <w:tcPr>
            <w:tcW w:type="dxa" w:w="1512"/>
            <w:vAlign w:val="center"/>
            <w:tcMar>
              <w:top w:w="90" w:type="dxa"/>
              <w:start w:w="110" w:type="dxa"/>
              <w:bottom w:w="90" w:type="dxa"/>
              <w:end w:w="110" w:type="dxa"/>
            </w:tcMar>
          </w:tcPr>
          <w:p>
            <w:pPr>
              <w:spacing w:after="0" w:before="0" w:line="240" w:lineRule="auto"/>
            </w:pPr>
            <w:r>
              <w:rPr>
                <w:sz w:val="17"/>
              </w:rPr>
              <w:t>4,86%</w:t>
            </w:r>
          </w:p>
        </w:tc>
        <w:tc>
          <w:tcPr>
            <w:tcW w:type="dxa" w:w="1440"/>
            <w:vAlign w:val="center"/>
            <w:tcMar>
              <w:top w:w="90" w:type="dxa"/>
              <w:start w:w="110" w:type="dxa"/>
              <w:bottom w:w="90" w:type="dxa"/>
              <w:end w:w="110" w:type="dxa"/>
            </w:tcMar>
          </w:tcPr>
          <w:p>
            <w:pPr>
              <w:spacing w:after="0" w:before="0" w:line="240" w:lineRule="auto"/>
            </w:pPr>
            <w:r>
              <w:rPr>
                <w:sz w:val="17"/>
              </w:rPr>
              <w:t>51,4%</w:t>
            </w:r>
          </w:p>
        </w:tc>
      </w:tr>
    </w:tbl>
    <w:p>
      <w:r>
        <w:t>Общий приток денег — 4 млрд ₽. После пяти вложений в компании 205,579 млн единиц; прежняя структура размыта на 51,4%. Исходный резерв 10 млн единиц составляет 4,86% компании и стоит около 778,3 млн ₽ при продаже.</w:t>
      </w:r>
    </w:p>
    <w:p>
      <w:r>
        <w:t>Экономическая основа оценки 16 млрд ₽: привлеченные 4 млрд ₽ позволяют получить примерно 8 млрд ₽ приобретенной выручки, еще 2 млрд ₽ дает органический рост. При выручке 10 млрд ₽ и рентабельности 20% прибыль до процентов, налогов и амортизации составляет не менее 2 млрд ₽; коэффициент 8 дает стоимость 16 млрд ₽. Темп переоценки между вложениями снижается примерно так: 100% → 60% → 45% → 31% → 7%.</w:t>
      </w:r>
    </w:p>
    <w:p>
      <w:pPr>
        <w:pStyle w:val="Heading2"/>
      </w:pPr>
      <w:r>
        <w:t>Пример 4. Пятилетняя вместимость резерва</w:t>
      </w:r>
    </w:p>
    <w:p>
      <w:r>
        <w:t>Базовый сценарий предполагает 8 участников в первый год, по 12 в годы 2–4 и до 15 в пятом году как резерв максимального расширения. Ёмкость проверяется по максимальному целевому пакету 1,0 оклада, или 5 млн ₽. Всего — 59 решений.</w:t>
      </w:r>
    </w:p>
    <w:tbl>
      <w:tblPr>
        <w:tblW w:type="dxa" w:w="8568"/>
        <w:jc w:val="left"/>
        <w:tblLayout w:type="fixed"/>
        <w:tblLook w:firstColumn="1" w:firstRow="1" w:lastColumn="0" w:lastRow="0" w:noHBand="0" w:noVBand="1" w:val="04A0"/>
        <w:tblInd w:w="110" w:type="dxa"/>
        <w:tblBorders>
          <w:top w:val="single" w:sz="4" w:space="0" w:color="AAB2BD"/>
          <w:start w:val="single" w:sz="4" w:space="0" w:color="AAB2BD"/>
          <w:bottom w:val="single" w:sz="4" w:space="0" w:color="AAB2BD"/>
          <w:end w:val="single" w:sz="4" w:space="0" w:color="AAB2BD"/>
          <w:insideH w:val="single" w:sz="4" w:space="0" w:color="AAB2BD"/>
          <w:insideV w:val="single" w:sz="4" w:space="0" w:color="AAB2BD"/>
        </w:tblBorders>
      </w:tblPr>
      <w:tblGrid>
        <w:gridCol w:w="792"/>
        <w:gridCol w:w="1800"/>
        <w:gridCol w:w="2160"/>
        <w:gridCol w:w="2016"/>
        <w:gridCol w:w="1800"/>
      </w:tblGrid>
      <w:tr>
        <w:trPr>
          <w:tblHeader w:val="true"/>
        </w:trPr>
        <w:tc>
          <w:tcPr>
            <w:tcW w:type="dxa" w:w="792"/>
            <w:vAlign w:val="center"/>
            <w:tcMar>
              <w:top w:w="90" w:type="dxa"/>
              <w:start w:w="110" w:type="dxa"/>
              <w:bottom w:w="90" w:type="dxa"/>
              <w:end w:w="110" w:type="dxa"/>
            </w:tcMar>
            <w:shd w:fill="0F1722"/>
          </w:tcPr>
          <w:p>
            <w:pPr>
              <w:spacing w:after="0" w:before="0" w:line="240" w:lineRule="auto"/>
            </w:pPr>
            <w:r>
              <w:rPr>
                <w:b/>
                <w:color w:val="FFFFFF"/>
                <w:sz w:val="17"/>
              </w:rPr>
              <w:t>Год / участников</w:t>
            </w:r>
          </w:p>
        </w:tc>
        <w:tc>
          <w:tcPr>
            <w:tcW w:type="dxa" w:w="1800"/>
            <w:vAlign w:val="center"/>
            <w:tcMar>
              <w:top w:w="90" w:type="dxa"/>
              <w:start w:w="110" w:type="dxa"/>
              <w:bottom w:w="90" w:type="dxa"/>
              <w:end w:w="110" w:type="dxa"/>
            </w:tcMar>
            <w:shd w:fill="0F1722"/>
          </w:tcPr>
          <w:p>
            <w:pPr>
              <w:spacing w:after="0" w:before="0" w:line="240" w:lineRule="auto"/>
            </w:pPr>
            <w:r>
              <w:rPr>
                <w:b/>
                <w:color w:val="FFFFFF"/>
                <w:sz w:val="17"/>
              </w:rPr>
              <w:t>Цена единицы</w:t>
            </w:r>
          </w:p>
        </w:tc>
        <w:tc>
          <w:tcPr>
            <w:tcW w:type="dxa" w:w="2160"/>
            <w:vAlign w:val="center"/>
            <w:tcMar>
              <w:top w:w="90" w:type="dxa"/>
              <w:start w:w="110" w:type="dxa"/>
              <w:bottom w:w="90" w:type="dxa"/>
              <w:end w:w="110" w:type="dxa"/>
            </w:tcMar>
            <w:shd w:fill="0F1722"/>
          </w:tcPr>
          <w:p>
            <w:pPr>
              <w:spacing w:after="0" w:before="0" w:line="240" w:lineRule="auto"/>
            </w:pPr>
            <w:r>
              <w:rPr>
                <w:b/>
                <w:color w:val="FFFFFF"/>
                <w:sz w:val="17"/>
              </w:rPr>
              <w:t>Новые единицы</w:t>
            </w:r>
          </w:p>
        </w:tc>
        <w:tc>
          <w:tcPr>
            <w:tcW w:type="dxa" w:w="2016"/>
            <w:vAlign w:val="center"/>
            <w:tcMar>
              <w:top w:w="90" w:type="dxa"/>
              <w:start w:w="110" w:type="dxa"/>
              <w:bottom w:w="90" w:type="dxa"/>
              <w:end w:w="110" w:type="dxa"/>
            </w:tcMar>
            <w:shd w:fill="0F1722"/>
          </w:tcPr>
          <w:p>
            <w:pPr>
              <w:spacing w:after="0" w:before="0" w:line="240" w:lineRule="auto"/>
            </w:pPr>
            <w:r>
              <w:rPr>
                <w:b/>
                <w:color w:val="FFFFFF"/>
                <w:sz w:val="17"/>
              </w:rPr>
              <w:t>Накоплено</w:t>
            </w:r>
          </w:p>
        </w:tc>
        <w:tc>
          <w:tcPr>
            <w:tcW w:type="dxa" w:w="1800"/>
            <w:vAlign w:val="center"/>
            <w:tcMar>
              <w:top w:w="90" w:type="dxa"/>
              <w:start w:w="110" w:type="dxa"/>
              <w:bottom w:w="90" w:type="dxa"/>
              <w:end w:w="110" w:type="dxa"/>
            </w:tcMar>
            <w:shd w:fill="0F1722"/>
          </w:tcPr>
          <w:p>
            <w:pPr>
              <w:spacing w:after="0" w:before="0" w:line="240" w:lineRule="auto"/>
            </w:pPr>
            <w:r>
              <w:rPr>
                <w:b/>
                <w:color w:val="FFFFFF"/>
                <w:sz w:val="17"/>
              </w:rPr>
              <w:t>Использовано</w:t>
            </w:r>
          </w:p>
        </w:tc>
      </w:tr>
      <w:tr>
        <w:tc>
          <w:tcPr>
            <w:tcW w:type="dxa" w:w="792"/>
            <w:vAlign w:val="center"/>
            <w:tcMar>
              <w:top w:w="90" w:type="dxa"/>
              <w:start w:w="110" w:type="dxa"/>
              <w:bottom w:w="90" w:type="dxa"/>
              <w:end w:w="110" w:type="dxa"/>
            </w:tcMar>
          </w:tcPr>
          <w:p>
            <w:pPr>
              <w:spacing w:after="0" w:before="0" w:line="240" w:lineRule="auto"/>
            </w:pPr>
            <w:r>
              <w:rPr>
                <w:sz w:val="17"/>
              </w:rPr>
              <w:t>1 / 8</w:t>
            </w:r>
          </w:p>
        </w:tc>
        <w:tc>
          <w:tcPr>
            <w:tcW w:type="dxa" w:w="1800"/>
            <w:vAlign w:val="center"/>
            <w:tcMar>
              <w:top w:w="90" w:type="dxa"/>
              <w:start w:w="110" w:type="dxa"/>
              <w:bottom w:w="90" w:type="dxa"/>
              <w:end w:w="110" w:type="dxa"/>
            </w:tcMar>
          </w:tcPr>
          <w:p>
            <w:pPr>
              <w:spacing w:after="0" w:before="0" w:line="240" w:lineRule="auto"/>
            </w:pPr>
            <w:r>
              <w:rPr>
                <w:sz w:val="17"/>
              </w:rPr>
              <w:t>12 ₽</w:t>
            </w:r>
          </w:p>
        </w:tc>
        <w:tc>
          <w:tcPr>
            <w:tcW w:type="dxa" w:w="2160"/>
            <w:vAlign w:val="center"/>
            <w:tcMar>
              <w:top w:w="90" w:type="dxa"/>
              <w:start w:w="110" w:type="dxa"/>
              <w:bottom w:w="90" w:type="dxa"/>
              <w:end w:w="110" w:type="dxa"/>
            </w:tcMar>
          </w:tcPr>
          <w:p>
            <w:pPr>
              <w:spacing w:after="0" w:before="0" w:line="240" w:lineRule="auto"/>
            </w:pPr>
            <w:r>
              <w:rPr>
                <w:sz w:val="17"/>
              </w:rPr>
              <w:t>3,333 млн</w:t>
            </w:r>
          </w:p>
        </w:tc>
        <w:tc>
          <w:tcPr>
            <w:tcW w:type="dxa" w:w="2016"/>
            <w:vAlign w:val="center"/>
            <w:tcMar>
              <w:top w:w="90" w:type="dxa"/>
              <w:start w:w="110" w:type="dxa"/>
              <w:bottom w:w="90" w:type="dxa"/>
              <w:end w:w="110" w:type="dxa"/>
            </w:tcMar>
          </w:tcPr>
          <w:p>
            <w:pPr>
              <w:spacing w:after="0" w:before="0" w:line="240" w:lineRule="auto"/>
            </w:pPr>
            <w:r>
              <w:rPr>
                <w:sz w:val="17"/>
              </w:rPr>
              <w:t>3,333 млн</w:t>
            </w:r>
          </w:p>
        </w:tc>
        <w:tc>
          <w:tcPr>
            <w:tcW w:type="dxa" w:w="1800"/>
            <w:vAlign w:val="center"/>
            <w:tcMar>
              <w:top w:w="90" w:type="dxa"/>
              <w:start w:w="110" w:type="dxa"/>
              <w:bottom w:w="90" w:type="dxa"/>
              <w:end w:w="110" w:type="dxa"/>
            </w:tcMar>
          </w:tcPr>
          <w:p>
            <w:pPr>
              <w:spacing w:after="0" w:before="0" w:line="240" w:lineRule="auto"/>
            </w:pPr>
            <w:r>
              <w:rPr>
                <w:sz w:val="17"/>
              </w:rPr>
              <w:t>33,3%</w:t>
            </w:r>
          </w:p>
        </w:tc>
      </w:tr>
      <w:tr>
        <w:tc>
          <w:tcPr>
            <w:tcW w:type="dxa" w:w="792"/>
            <w:vAlign w:val="center"/>
            <w:tcMar>
              <w:top w:w="90" w:type="dxa"/>
              <w:start w:w="110" w:type="dxa"/>
              <w:bottom w:w="90" w:type="dxa"/>
              <w:end w:w="110" w:type="dxa"/>
            </w:tcMar>
          </w:tcPr>
          <w:p>
            <w:pPr>
              <w:spacing w:after="0" w:before="0" w:line="240" w:lineRule="auto"/>
            </w:pPr>
            <w:r>
              <w:rPr>
                <w:sz w:val="17"/>
              </w:rPr>
              <w:t>2 / 12</w:t>
            </w:r>
          </w:p>
        </w:tc>
        <w:tc>
          <w:tcPr>
            <w:tcW w:type="dxa" w:w="1800"/>
            <w:vAlign w:val="center"/>
            <w:tcMar>
              <w:top w:w="90" w:type="dxa"/>
              <w:start w:w="110" w:type="dxa"/>
              <w:bottom w:w="90" w:type="dxa"/>
              <w:end w:w="110" w:type="dxa"/>
            </w:tcMar>
          </w:tcPr>
          <w:p>
            <w:pPr>
              <w:spacing w:after="0" w:before="0" w:line="240" w:lineRule="auto"/>
            </w:pPr>
            <w:r>
              <w:rPr>
                <w:sz w:val="17"/>
              </w:rPr>
              <w:t>24 ₽</w:t>
            </w:r>
          </w:p>
        </w:tc>
        <w:tc>
          <w:tcPr>
            <w:tcW w:type="dxa" w:w="2160"/>
            <w:vAlign w:val="center"/>
            <w:tcMar>
              <w:top w:w="90" w:type="dxa"/>
              <w:start w:w="110" w:type="dxa"/>
              <w:bottom w:w="90" w:type="dxa"/>
              <w:end w:w="110" w:type="dxa"/>
            </w:tcMar>
          </w:tcPr>
          <w:p>
            <w:pPr>
              <w:spacing w:after="0" w:before="0" w:line="240" w:lineRule="auto"/>
            </w:pPr>
            <w:r>
              <w:rPr>
                <w:sz w:val="17"/>
              </w:rPr>
              <w:t>2,5 млн</w:t>
            </w:r>
          </w:p>
        </w:tc>
        <w:tc>
          <w:tcPr>
            <w:tcW w:type="dxa" w:w="2016"/>
            <w:vAlign w:val="center"/>
            <w:tcMar>
              <w:top w:w="90" w:type="dxa"/>
              <w:start w:w="110" w:type="dxa"/>
              <w:bottom w:w="90" w:type="dxa"/>
              <w:end w:w="110" w:type="dxa"/>
            </w:tcMar>
          </w:tcPr>
          <w:p>
            <w:pPr>
              <w:spacing w:after="0" w:before="0" w:line="240" w:lineRule="auto"/>
            </w:pPr>
            <w:r>
              <w:rPr>
                <w:sz w:val="17"/>
              </w:rPr>
              <w:t>5,833 млн</w:t>
            </w:r>
          </w:p>
        </w:tc>
        <w:tc>
          <w:tcPr>
            <w:tcW w:type="dxa" w:w="1800"/>
            <w:vAlign w:val="center"/>
            <w:tcMar>
              <w:top w:w="90" w:type="dxa"/>
              <w:start w:w="110" w:type="dxa"/>
              <w:bottom w:w="90" w:type="dxa"/>
              <w:end w:w="110" w:type="dxa"/>
            </w:tcMar>
          </w:tcPr>
          <w:p>
            <w:pPr>
              <w:spacing w:after="0" w:before="0" w:line="240" w:lineRule="auto"/>
            </w:pPr>
            <w:r>
              <w:rPr>
                <w:sz w:val="17"/>
              </w:rPr>
              <w:t>58,3%</w:t>
            </w:r>
          </w:p>
        </w:tc>
      </w:tr>
      <w:tr>
        <w:tc>
          <w:tcPr>
            <w:tcW w:type="dxa" w:w="792"/>
            <w:vAlign w:val="center"/>
            <w:tcMar>
              <w:top w:w="90" w:type="dxa"/>
              <w:start w:w="110" w:type="dxa"/>
              <w:bottom w:w="90" w:type="dxa"/>
              <w:end w:w="110" w:type="dxa"/>
            </w:tcMar>
          </w:tcPr>
          <w:p>
            <w:pPr>
              <w:spacing w:after="0" w:before="0" w:line="240" w:lineRule="auto"/>
            </w:pPr>
            <w:r>
              <w:rPr>
                <w:sz w:val="17"/>
              </w:rPr>
              <w:t>3 / 12</w:t>
            </w:r>
          </w:p>
        </w:tc>
        <w:tc>
          <w:tcPr>
            <w:tcW w:type="dxa" w:w="1800"/>
            <w:vAlign w:val="center"/>
            <w:tcMar>
              <w:top w:w="90" w:type="dxa"/>
              <w:start w:w="110" w:type="dxa"/>
              <w:bottom w:w="90" w:type="dxa"/>
              <w:end w:w="110" w:type="dxa"/>
            </w:tcMar>
          </w:tcPr>
          <w:p>
            <w:pPr>
              <w:spacing w:after="0" w:before="0" w:line="240" w:lineRule="auto"/>
            </w:pPr>
            <w:r>
              <w:rPr>
                <w:sz w:val="17"/>
              </w:rPr>
              <w:t>38,4 ₽</w:t>
            </w:r>
          </w:p>
        </w:tc>
        <w:tc>
          <w:tcPr>
            <w:tcW w:type="dxa" w:w="2160"/>
            <w:vAlign w:val="center"/>
            <w:tcMar>
              <w:top w:w="90" w:type="dxa"/>
              <w:start w:w="110" w:type="dxa"/>
              <w:bottom w:w="90" w:type="dxa"/>
              <w:end w:w="110" w:type="dxa"/>
            </w:tcMar>
          </w:tcPr>
          <w:p>
            <w:pPr>
              <w:spacing w:after="0" w:before="0" w:line="240" w:lineRule="auto"/>
            </w:pPr>
            <w:r>
              <w:rPr>
                <w:sz w:val="17"/>
              </w:rPr>
              <w:t>1,562 млн</w:t>
            </w:r>
          </w:p>
        </w:tc>
        <w:tc>
          <w:tcPr>
            <w:tcW w:type="dxa" w:w="2016"/>
            <w:vAlign w:val="center"/>
            <w:tcMar>
              <w:top w:w="90" w:type="dxa"/>
              <w:start w:w="110" w:type="dxa"/>
              <w:bottom w:w="90" w:type="dxa"/>
              <w:end w:w="110" w:type="dxa"/>
            </w:tcMar>
          </w:tcPr>
          <w:p>
            <w:pPr>
              <w:spacing w:after="0" w:before="0" w:line="240" w:lineRule="auto"/>
            </w:pPr>
            <w:r>
              <w:rPr>
                <w:sz w:val="17"/>
              </w:rPr>
              <w:t>7,396 млн</w:t>
            </w:r>
          </w:p>
        </w:tc>
        <w:tc>
          <w:tcPr>
            <w:tcW w:type="dxa" w:w="1800"/>
            <w:vAlign w:val="center"/>
            <w:tcMar>
              <w:top w:w="90" w:type="dxa"/>
              <w:start w:w="110" w:type="dxa"/>
              <w:bottom w:w="90" w:type="dxa"/>
              <w:end w:w="110" w:type="dxa"/>
            </w:tcMar>
          </w:tcPr>
          <w:p>
            <w:pPr>
              <w:spacing w:after="0" w:before="0" w:line="240" w:lineRule="auto"/>
            </w:pPr>
            <w:r>
              <w:rPr>
                <w:sz w:val="17"/>
              </w:rPr>
              <w:t>74%</w:t>
            </w:r>
          </w:p>
        </w:tc>
      </w:tr>
      <w:tr>
        <w:tc>
          <w:tcPr>
            <w:tcW w:type="dxa" w:w="792"/>
            <w:vAlign w:val="center"/>
            <w:tcMar>
              <w:top w:w="90" w:type="dxa"/>
              <w:start w:w="110" w:type="dxa"/>
              <w:bottom w:w="90" w:type="dxa"/>
              <w:end w:w="110" w:type="dxa"/>
            </w:tcMar>
          </w:tcPr>
          <w:p>
            <w:pPr>
              <w:spacing w:after="0" w:before="0" w:line="240" w:lineRule="auto"/>
            </w:pPr>
            <w:r>
              <w:rPr>
                <w:sz w:val="17"/>
              </w:rPr>
              <w:t>4 / 12</w:t>
            </w:r>
          </w:p>
        </w:tc>
        <w:tc>
          <w:tcPr>
            <w:tcW w:type="dxa" w:w="1800"/>
            <w:vAlign w:val="center"/>
            <w:tcMar>
              <w:top w:w="90" w:type="dxa"/>
              <w:start w:w="110" w:type="dxa"/>
              <w:bottom w:w="90" w:type="dxa"/>
              <w:end w:w="110" w:type="dxa"/>
            </w:tcMar>
          </w:tcPr>
          <w:p>
            <w:pPr>
              <w:spacing w:after="0" w:before="0" w:line="240" w:lineRule="auto"/>
            </w:pPr>
            <w:r>
              <w:rPr>
                <w:sz w:val="17"/>
              </w:rPr>
              <w:t>55,64 ₽</w:t>
            </w:r>
          </w:p>
        </w:tc>
        <w:tc>
          <w:tcPr>
            <w:tcW w:type="dxa" w:w="2160"/>
            <w:vAlign w:val="center"/>
            <w:tcMar>
              <w:top w:w="90" w:type="dxa"/>
              <w:start w:w="110" w:type="dxa"/>
              <w:bottom w:w="90" w:type="dxa"/>
              <w:end w:w="110" w:type="dxa"/>
            </w:tcMar>
          </w:tcPr>
          <w:p>
            <w:pPr>
              <w:spacing w:after="0" w:before="0" w:line="240" w:lineRule="auto"/>
            </w:pPr>
            <w:r>
              <w:rPr>
                <w:sz w:val="17"/>
              </w:rPr>
              <w:t>1,078 млн</w:t>
            </w:r>
          </w:p>
        </w:tc>
        <w:tc>
          <w:tcPr>
            <w:tcW w:type="dxa" w:w="2016"/>
            <w:vAlign w:val="center"/>
            <w:tcMar>
              <w:top w:w="90" w:type="dxa"/>
              <w:start w:w="110" w:type="dxa"/>
              <w:bottom w:w="90" w:type="dxa"/>
              <w:end w:w="110" w:type="dxa"/>
            </w:tcMar>
          </w:tcPr>
          <w:p>
            <w:pPr>
              <w:spacing w:after="0" w:before="0" w:line="240" w:lineRule="auto"/>
            </w:pPr>
            <w:r>
              <w:rPr>
                <w:sz w:val="17"/>
              </w:rPr>
              <w:t>8,474 млн</w:t>
            </w:r>
          </w:p>
        </w:tc>
        <w:tc>
          <w:tcPr>
            <w:tcW w:type="dxa" w:w="1800"/>
            <w:vAlign w:val="center"/>
            <w:tcMar>
              <w:top w:w="90" w:type="dxa"/>
              <w:start w:w="110" w:type="dxa"/>
              <w:bottom w:w="90" w:type="dxa"/>
              <w:end w:w="110" w:type="dxa"/>
            </w:tcMar>
          </w:tcPr>
          <w:p>
            <w:pPr>
              <w:spacing w:after="0" w:before="0" w:line="240" w:lineRule="auto"/>
            </w:pPr>
            <w:r>
              <w:rPr>
                <w:sz w:val="17"/>
              </w:rPr>
              <w:t>84,7%</w:t>
            </w:r>
          </w:p>
        </w:tc>
      </w:tr>
      <w:tr>
        <w:tc>
          <w:tcPr>
            <w:tcW w:type="dxa" w:w="792"/>
            <w:vAlign w:val="center"/>
            <w:tcMar>
              <w:top w:w="90" w:type="dxa"/>
              <w:start w:w="110" w:type="dxa"/>
              <w:bottom w:w="90" w:type="dxa"/>
              <w:end w:w="110" w:type="dxa"/>
            </w:tcMar>
          </w:tcPr>
          <w:p>
            <w:pPr>
              <w:spacing w:after="0" w:before="0" w:line="240" w:lineRule="auto"/>
            </w:pPr>
            <w:r>
              <w:rPr>
                <w:sz w:val="17"/>
              </w:rPr>
              <w:t>5 / 15</w:t>
            </w:r>
          </w:p>
        </w:tc>
        <w:tc>
          <w:tcPr>
            <w:tcW w:type="dxa" w:w="1800"/>
            <w:vAlign w:val="center"/>
            <w:tcMar>
              <w:top w:w="90" w:type="dxa"/>
              <w:start w:w="110" w:type="dxa"/>
              <w:bottom w:w="90" w:type="dxa"/>
              <w:end w:w="110" w:type="dxa"/>
            </w:tcMar>
          </w:tcPr>
          <w:p>
            <w:pPr>
              <w:spacing w:after="0" w:before="0" w:line="240" w:lineRule="auto"/>
            </w:pPr>
            <w:r>
              <w:rPr>
                <w:sz w:val="17"/>
              </w:rPr>
              <w:t>72,79 ₽</w:t>
            </w:r>
          </w:p>
        </w:tc>
        <w:tc>
          <w:tcPr>
            <w:tcW w:type="dxa" w:w="2160"/>
            <w:vAlign w:val="center"/>
            <w:tcMar>
              <w:top w:w="90" w:type="dxa"/>
              <w:start w:w="110" w:type="dxa"/>
              <w:bottom w:w="90" w:type="dxa"/>
              <w:end w:w="110" w:type="dxa"/>
            </w:tcMar>
          </w:tcPr>
          <w:p>
            <w:pPr>
              <w:spacing w:after="0" w:before="0" w:line="240" w:lineRule="auto"/>
            </w:pPr>
            <w:r>
              <w:rPr>
                <w:sz w:val="17"/>
              </w:rPr>
              <w:t>1,03 млн</w:t>
            </w:r>
          </w:p>
        </w:tc>
        <w:tc>
          <w:tcPr>
            <w:tcW w:type="dxa" w:w="2016"/>
            <w:vAlign w:val="center"/>
            <w:tcMar>
              <w:top w:w="90" w:type="dxa"/>
              <w:start w:w="110" w:type="dxa"/>
              <w:bottom w:w="90" w:type="dxa"/>
              <w:end w:w="110" w:type="dxa"/>
            </w:tcMar>
          </w:tcPr>
          <w:p>
            <w:pPr>
              <w:spacing w:after="0" w:before="0" w:line="240" w:lineRule="auto"/>
            </w:pPr>
            <w:r>
              <w:rPr>
                <w:sz w:val="17"/>
              </w:rPr>
              <w:t>9,505 млн</w:t>
            </w:r>
          </w:p>
        </w:tc>
        <w:tc>
          <w:tcPr>
            <w:tcW w:type="dxa" w:w="1800"/>
            <w:vAlign w:val="center"/>
            <w:tcMar>
              <w:top w:w="90" w:type="dxa"/>
              <w:start w:w="110" w:type="dxa"/>
              <w:bottom w:w="90" w:type="dxa"/>
              <w:end w:w="110" w:type="dxa"/>
            </w:tcMar>
          </w:tcPr>
          <w:p>
            <w:pPr>
              <w:spacing w:after="0" w:before="0" w:line="240" w:lineRule="auto"/>
            </w:pPr>
            <w:r>
              <w:rPr>
                <w:sz w:val="17"/>
              </w:rPr>
              <w:t>95%</w:t>
            </w:r>
          </w:p>
        </w:tc>
      </w:tr>
    </w:tbl>
    <w:p>
      <w:r>
        <w:t>К концу пятого года занято 9,505 из 10 млн единиц, или 95% программы. Первые 9 млн укладываются в направления для текущей команды и будущих наймов. Еще 0,505 млн требуют отдельного решения о переносе из резерва Совета. Свободными останутся 0,495 млн единиц — около 38,6 млн ₽ при продаже. Возврат незакрепленных прав после ухода может увеличить остаток.</w:t>
      </w:r>
    </w:p>
    <w:p>
      <w:pPr>
        <w:pStyle w:val="Heading2"/>
      </w:pPr>
      <w:r>
        <w:t>Пример 5. Что происходит, если стоимость не растет</w:t>
      </w:r>
    </w:p>
    <w:p>
      <w:r>
        <w:t>Если цена расчетной единицы все пять лет остается 12 ₽, те же 59 решений по 5 млн ₽ потребуют 24,583 млн единиц — 245,8% всего резерва. Это означает, что рост стоимости нужен не только для потенциального дохода участника, но и для вместимости самой программы.</w:t>
      </w:r>
    </w:p>
    <w:tbl>
      <w:tblPr>
        <w:tblW w:type="dxa" w:w="8856"/>
        <w:jc w:val="left"/>
        <w:tblLayout w:type="fixed"/>
        <w:tblLook w:firstColumn="1" w:firstRow="1" w:lastColumn="0" w:lastRow="0" w:noHBand="0" w:noVBand="1" w:val="04A0"/>
        <w:tblInd w:w="110" w:type="dxa"/>
        <w:tblBorders>
          <w:top w:val="single" w:sz="4" w:space="0" w:color="AAB2BD"/>
          <w:start w:val="single" w:sz="4" w:space="0" w:color="AAB2BD"/>
          <w:bottom w:val="single" w:sz="4" w:space="0" w:color="AAB2BD"/>
          <w:end w:val="single" w:sz="4" w:space="0" w:color="AAB2BD"/>
          <w:insideH w:val="single" w:sz="4" w:space="0" w:color="AAB2BD"/>
          <w:insideV w:val="single" w:sz="4" w:space="0" w:color="AAB2BD"/>
        </w:tblBorders>
      </w:tblPr>
      <w:tblGrid>
        <w:gridCol w:w="2520"/>
        <w:gridCol w:w="3168"/>
        <w:gridCol w:w="3168"/>
      </w:tblGrid>
      <w:tr>
        <w:trPr>
          <w:tblHeader w:val="true"/>
        </w:trPr>
        <w:tc>
          <w:tcPr>
            <w:tcW w:type="dxa" w:w="2520"/>
            <w:vAlign w:val="center"/>
            <w:tcMar>
              <w:top w:w="90" w:type="dxa"/>
              <w:start w:w="110" w:type="dxa"/>
              <w:bottom w:w="90" w:type="dxa"/>
              <w:end w:w="110" w:type="dxa"/>
            </w:tcMar>
            <w:shd w:fill="0F1722"/>
          </w:tcPr>
          <w:p>
            <w:pPr>
              <w:spacing w:after="0" w:before="0" w:line="240" w:lineRule="auto"/>
            </w:pPr>
            <w:r>
              <w:rPr>
                <w:b/>
                <w:color w:val="FFFFFF"/>
                <w:sz w:val="18"/>
              </w:rPr>
              <w:t>Условие без роста</w:t>
            </w:r>
          </w:p>
        </w:tc>
        <w:tc>
          <w:tcPr>
            <w:tcW w:type="dxa" w:w="3168"/>
            <w:vAlign w:val="center"/>
            <w:tcMar>
              <w:top w:w="90" w:type="dxa"/>
              <w:start w:w="110" w:type="dxa"/>
              <w:bottom w:w="90" w:type="dxa"/>
              <w:end w:w="110" w:type="dxa"/>
            </w:tcMar>
            <w:shd w:fill="0F1722"/>
          </w:tcPr>
          <w:p>
            <w:pPr>
              <w:spacing w:after="0" w:before="0" w:line="240" w:lineRule="auto"/>
            </w:pPr>
            <w:r>
              <w:rPr>
                <w:b/>
                <w:color w:val="FFFFFF"/>
                <w:sz w:val="18"/>
              </w:rPr>
              <w:t>При сохранении 1 млн Совету</w:t>
            </w:r>
          </w:p>
        </w:tc>
        <w:tc>
          <w:tcPr>
            <w:tcW w:type="dxa" w:w="3168"/>
            <w:vAlign w:val="center"/>
            <w:tcMar>
              <w:top w:w="90" w:type="dxa"/>
              <w:start w:w="110" w:type="dxa"/>
              <w:bottom w:w="90" w:type="dxa"/>
              <w:end w:w="110" w:type="dxa"/>
            </w:tcMar>
            <w:shd w:fill="0F1722"/>
          </w:tcPr>
          <w:p>
            <w:pPr>
              <w:spacing w:after="0" w:before="0" w:line="240" w:lineRule="auto"/>
            </w:pPr>
            <w:r>
              <w:rPr>
                <w:b/>
                <w:color w:val="FFFFFF"/>
                <w:sz w:val="18"/>
              </w:rPr>
              <w:t>Если потратить все 10 млн</w:t>
            </w:r>
          </w:p>
        </w:tc>
      </w:tr>
      <w:tr>
        <w:tc>
          <w:tcPr>
            <w:tcW w:type="dxa" w:w="2520"/>
            <w:vAlign w:val="center"/>
            <w:tcMar>
              <w:top w:w="90" w:type="dxa"/>
              <w:start w:w="110" w:type="dxa"/>
              <w:bottom w:w="90" w:type="dxa"/>
              <w:end w:w="110" w:type="dxa"/>
            </w:tcMar>
          </w:tcPr>
          <w:p>
            <w:pPr>
              <w:spacing w:after="0" w:before="0" w:line="240" w:lineRule="auto"/>
            </w:pPr>
            <w:r>
              <w:rPr>
                <w:sz w:val="18"/>
              </w:rPr>
              <w:t>Пакет 1,0 оклада</w:t>
            </w:r>
          </w:p>
        </w:tc>
        <w:tc>
          <w:tcPr>
            <w:tcW w:type="dxa" w:w="3168"/>
            <w:vAlign w:val="center"/>
            <w:tcMar>
              <w:top w:w="90" w:type="dxa"/>
              <w:start w:w="110" w:type="dxa"/>
              <w:bottom w:w="90" w:type="dxa"/>
              <w:end w:w="110" w:type="dxa"/>
            </w:tcMar>
          </w:tcPr>
          <w:p>
            <w:pPr>
              <w:spacing w:after="0" w:before="0" w:line="240" w:lineRule="auto"/>
            </w:pPr>
            <w:r>
              <w:rPr>
                <w:sz w:val="18"/>
              </w:rPr>
              <w:t>21 полных решений</w:t>
              <w:br/>
              <w:t>4,2 в год</w:t>
            </w:r>
          </w:p>
        </w:tc>
        <w:tc>
          <w:tcPr>
            <w:tcW w:type="dxa" w:w="3168"/>
            <w:vAlign w:val="center"/>
            <w:tcMar>
              <w:top w:w="90" w:type="dxa"/>
              <w:start w:w="110" w:type="dxa"/>
              <w:bottom w:w="90" w:type="dxa"/>
              <w:end w:w="110" w:type="dxa"/>
            </w:tcMar>
          </w:tcPr>
          <w:p>
            <w:pPr>
              <w:spacing w:after="0" w:before="0" w:line="240" w:lineRule="auto"/>
            </w:pPr>
            <w:r>
              <w:rPr>
                <w:sz w:val="18"/>
              </w:rPr>
              <w:t>24 полных решения</w:t>
              <w:br/>
              <w:t>4,8 в год</w:t>
            </w:r>
          </w:p>
        </w:tc>
      </w:tr>
      <w:tr>
        <w:tc>
          <w:tcPr>
            <w:tcW w:type="dxa" w:w="2520"/>
            <w:vAlign w:val="center"/>
            <w:tcMar>
              <w:top w:w="90" w:type="dxa"/>
              <w:start w:w="110" w:type="dxa"/>
              <w:bottom w:w="90" w:type="dxa"/>
              <w:end w:w="110" w:type="dxa"/>
            </w:tcMar>
          </w:tcPr>
          <w:p>
            <w:pPr>
              <w:spacing w:after="0" w:before="0" w:line="240" w:lineRule="auto"/>
            </w:pPr>
            <w:r>
              <w:rPr>
                <w:sz w:val="18"/>
              </w:rPr>
              <w:t>59 решений за пять лет</w:t>
            </w:r>
          </w:p>
        </w:tc>
        <w:tc>
          <w:tcPr>
            <w:tcW w:type="dxa" w:w="3168"/>
            <w:vAlign w:val="center"/>
            <w:tcMar>
              <w:top w:w="90" w:type="dxa"/>
              <w:start w:w="110" w:type="dxa"/>
              <w:bottom w:w="90" w:type="dxa"/>
              <w:end w:w="110" w:type="dxa"/>
            </w:tcMar>
          </w:tcPr>
          <w:p>
            <w:pPr>
              <w:spacing w:after="0" w:before="0" w:line="240" w:lineRule="auto"/>
            </w:pPr>
            <w:r>
              <w:rPr>
                <w:sz w:val="18"/>
              </w:rPr>
              <w:t>пакет 0,366 оклада</w:t>
              <w:br/>
              <w:t>1,83 млн ₽</w:t>
            </w:r>
          </w:p>
        </w:tc>
        <w:tc>
          <w:tcPr>
            <w:tcW w:type="dxa" w:w="3168"/>
            <w:vAlign w:val="center"/>
            <w:tcMar>
              <w:top w:w="90" w:type="dxa"/>
              <w:start w:w="110" w:type="dxa"/>
              <w:bottom w:w="90" w:type="dxa"/>
              <w:end w:w="110" w:type="dxa"/>
            </w:tcMar>
          </w:tcPr>
          <w:p>
            <w:pPr>
              <w:spacing w:after="0" w:before="0" w:line="240" w:lineRule="auto"/>
            </w:pPr>
            <w:r>
              <w:rPr>
                <w:sz w:val="18"/>
              </w:rPr>
              <w:t>пакет 0,407 оклада</w:t>
              <w:br/>
              <w:t>2,03 млн ₽</w:t>
            </w:r>
          </w:p>
        </w:tc>
      </w:tr>
    </w:tbl>
    <w:p>
      <w:r>
        <w:t>Поэтому ежегодный состав участников и размеры новых пакетов не гарантированы. Если компания растет медленнее плана, Совет должен уменьшить число участников, размер пакета или оба параметра. Без продажи, дивидендов либо другой утвержденной выплаты даже полностью закрепившееся право не создает текущих денег.</w:t>
      </w:r>
    </w:p>
    <w:p>
      <w:pPr>
        <w:pStyle w:val="Heading2"/>
      </w:pPr>
      <w:r>
        <w:t>Пример 6. Если после пятого года компания платит дивиденды</w:t>
      </w:r>
    </w:p>
    <w:p>
      <w:r>
        <w:t>Это альтернатива продаже, а не дополнительная выплата. Иллюстрация предполагает, что после пятого года новых размытий и пакетов нет, доступная для распределения прибыль составляет 2 млрд ₽ в год, владельцы ежегодно направляют на дивиденды 50%, а выплаты получают только закрепившиеся расчетные единицы или заменившие их акции.</w:t>
      </w:r>
    </w:p>
    <w:tbl>
      <w:tblPr>
        <w:tblW w:type="dxa" w:w="8856"/>
        <w:jc w:val="left"/>
        <w:tblLayout w:type="fixed"/>
        <w:tblLook w:firstColumn="1" w:firstRow="1" w:lastColumn="0" w:lastRow="0" w:noHBand="0" w:noVBand="1" w:val="04A0"/>
        <w:tblInd w:w="110" w:type="dxa"/>
        <w:tblBorders>
          <w:top w:val="single" w:sz="4" w:space="0" w:color="AAB2BD"/>
          <w:start w:val="single" w:sz="4" w:space="0" w:color="AAB2BD"/>
          <w:bottom w:val="single" w:sz="4" w:space="0" w:color="AAB2BD"/>
          <w:end w:val="single" w:sz="4" w:space="0" w:color="AAB2BD"/>
          <w:insideH w:val="single" w:sz="4" w:space="0" w:color="AAB2BD"/>
          <w:insideV w:val="single" w:sz="4" w:space="0" w:color="AAB2BD"/>
        </w:tblBorders>
      </w:tblPr>
      <w:tblGrid>
        <w:gridCol w:w="1080"/>
        <w:gridCol w:w="1872"/>
        <w:gridCol w:w="1728"/>
        <w:gridCol w:w="2016"/>
        <w:gridCol w:w="2160"/>
      </w:tblGrid>
      <w:tr>
        <w:trPr>
          <w:tblHeader w:val="true"/>
        </w:trPr>
        <w:tc>
          <w:tcPr>
            <w:tcW w:type="dxa" w:w="1080"/>
            <w:vAlign w:val="center"/>
            <w:tcMar>
              <w:top w:w="90" w:type="dxa"/>
              <w:start w:w="110" w:type="dxa"/>
              <w:bottom w:w="90" w:type="dxa"/>
              <w:end w:w="110" w:type="dxa"/>
            </w:tcMar>
            <w:shd w:fill="0F1722"/>
          </w:tcPr>
          <w:p>
            <w:pPr>
              <w:spacing w:after="0" w:before="0" w:line="240" w:lineRule="auto"/>
            </w:pPr>
            <w:r>
              <w:rPr>
                <w:b/>
                <w:color w:val="FFFFFF"/>
                <w:sz w:val="17"/>
              </w:rPr>
              <w:t>Конец года</w:t>
            </w:r>
          </w:p>
        </w:tc>
        <w:tc>
          <w:tcPr>
            <w:tcW w:type="dxa" w:w="1872"/>
            <w:vAlign w:val="center"/>
            <w:tcMar>
              <w:top w:w="90" w:type="dxa"/>
              <w:start w:w="110" w:type="dxa"/>
              <w:bottom w:w="90" w:type="dxa"/>
              <w:end w:w="110" w:type="dxa"/>
            </w:tcMar>
            <w:shd w:fill="0F1722"/>
          </w:tcPr>
          <w:p>
            <w:pPr>
              <w:spacing w:after="0" w:before="0" w:line="240" w:lineRule="auto"/>
            </w:pPr>
            <w:r>
              <w:rPr>
                <w:b/>
                <w:color w:val="FFFFFF"/>
                <w:sz w:val="17"/>
              </w:rPr>
              <w:t>Закреплено</w:t>
            </w:r>
          </w:p>
        </w:tc>
        <w:tc>
          <w:tcPr>
            <w:tcW w:type="dxa" w:w="1728"/>
            <w:vAlign w:val="center"/>
            <w:tcMar>
              <w:top w:w="90" w:type="dxa"/>
              <w:start w:w="110" w:type="dxa"/>
              <w:bottom w:w="90" w:type="dxa"/>
              <w:end w:w="110" w:type="dxa"/>
            </w:tcMar>
            <w:shd w:fill="0F1722"/>
          </w:tcPr>
          <w:p>
            <w:pPr>
              <w:spacing w:after="0" w:before="0" w:line="240" w:lineRule="auto"/>
            </w:pPr>
            <w:r>
              <w:rPr>
                <w:b/>
                <w:color w:val="FFFFFF"/>
                <w:sz w:val="17"/>
              </w:rPr>
              <w:t>Доля компании</w:t>
            </w:r>
          </w:p>
        </w:tc>
        <w:tc>
          <w:tcPr>
            <w:tcW w:type="dxa" w:w="2016"/>
            <w:vAlign w:val="center"/>
            <w:tcMar>
              <w:top w:w="90" w:type="dxa"/>
              <w:start w:w="110" w:type="dxa"/>
              <w:bottom w:w="90" w:type="dxa"/>
              <w:end w:w="110" w:type="dxa"/>
            </w:tcMar>
            <w:shd w:fill="0F1722"/>
          </w:tcPr>
          <w:p>
            <w:pPr>
              <w:spacing w:after="0" w:before="0" w:line="240" w:lineRule="auto"/>
            </w:pPr>
            <w:r>
              <w:rPr>
                <w:b/>
                <w:color w:val="FFFFFF"/>
                <w:sz w:val="17"/>
              </w:rPr>
              <w:t>Команде</w:t>
            </w:r>
          </w:p>
        </w:tc>
        <w:tc>
          <w:tcPr>
            <w:tcW w:type="dxa" w:w="2160"/>
            <w:vAlign w:val="center"/>
            <w:tcMar>
              <w:top w:w="90" w:type="dxa"/>
              <w:start w:w="110" w:type="dxa"/>
              <w:bottom w:w="90" w:type="dxa"/>
              <w:end w:w="110" w:type="dxa"/>
            </w:tcMar>
            <w:shd w:fill="0F1722"/>
          </w:tcPr>
          <w:p>
            <w:pPr>
              <w:spacing w:after="0" w:before="0" w:line="240" w:lineRule="auto"/>
            </w:pPr>
            <w:r>
              <w:rPr>
                <w:b/>
                <w:color w:val="FFFFFF"/>
                <w:sz w:val="17"/>
              </w:rPr>
              <w:t>Одному участнику</w:t>
            </w:r>
          </w:p>
        </w:tc>
      </w:tr>
      <w:tr>
        <w:tc>
          <w:tcPr>
            <w:tcW w:type="dxa" w:w="1080"/>
            <w:vAlign w:val="center"/>
            <w:tcMar>
              <w:top w:w="90" w:type="dxa"/>
              <w:start w:w="110" w:type="dxa"/>
              <w:bottom w:w="90" w:type="dxa"/>
              <w:end w:w="110" w:type="dxa"/>
            </w:tcMar>
          </w:tcPr>
          <w:p>
            <w:pPr>
              <w:spacing w:after="0" w:before="0" w:line="240" w:lineRule="auto"/>
            </w:pPr>
            <w:r>
              <w:rPr>
                <w:sz w:val="17"/>
              </w:rPr>
              <w:t>5</w:t>
            </w:r>
          </w:p>
        </w:tc>
        <w:tc>
          <w:tcPr>
            <w:tcW w:type="dxa" w:w="1872"/>
            <w:vAlign w:val="center"/>
            <w:tcMar>
              <w:top w:w="90" w:type="dxa"/>
              <w:start w:w="110" w:type="dxa"/>
              <w:bottom w:w="90" w:type="dxa"/>
              <w:end w:w="110" w:type="dxa"/>
            </w:tcMar>
          </w:tcPr>
          <w:p>
            <w:pPr>
              <w:spacing w:after="0" w:before="0" w:line="240" w:lineRule="auto"/>
            </w:pPr>
            <w:r>
              <w:rPr>
                <w:sz w:val="17"/>
              </w:rPr>
              <w:t>7,234 млн ед.</w:t>
            </w:r>
          </w:p>
        </w:tc>
        <w:tc>
          <w:tcPr>
            <w:tcW w:type="dxa" w:w="1728"/>
            <w:vAlign w:val="center"/>
            <w:tcMar>
              <w:top w:w="90" w:type="dxa"/>
              <w:start w:w="110" w:type="dxa"/>
              <w:bottom w:w="90" w:type="dxa"/>
              <w:end w:w="110" w:type="dxa"/>
            </w:tcMar>
          </w:tcPr>
          <w:p>
            <w:pPr>
              <w:spacing w:after="0" w:before="0" w:line="240" w:lineRule="auto"/>
            </w:pPr>
            <w:r>
              <w:rPr>
                <w:sz w:val="17"/>
              </w:rPr>
              <w:t>3,52%</w:t>
            </w:r>
          </w:p>
        </w:tc>
        <w:tc>
          <w:tcPr>
            <w:tcW w:type="dxa" w:w="2016"/>
            <w:vAlign w:val="center"/>
            <w:tcMar>
              <w:top w:w="90" w:type="dxa"/>
              <w:start w:w="110" w:type="dxa"/>
              <w:bottom w:w="90" w:type="dxa"/>
              <w:end w:w="110" w:type="dxa"/>
            </w:tcMar>
          </w:tcPr>
          <w:p>
            <w:pPr>
              <w:spacing w:after="0" w:before="0" w:line="240" w:lineRule="auto"/>
            </w:pPr>
            <w:r>
              <w:rPr>
                <w:sz w:val="17"/>
              </w:rPr>
              <w:t>35,2 млн ₽</w:t>
            </w:r>
          </w:p>
        </w:tc>
        <w:tc>
          <w:tcPr>
            <w:tcW w:type="dxa" w:w="2160"/>
            <w:vAlign w:val="center"/>
            <w:tcMar>
              <w:top w:w="90" w:type="dxa"/>
              <w:start w:w="110" w:type="dxa"/>
              <w:bottom w:w="90" w:type="dxa"/>
              <w:end w:w="110" w:type="dxa"/>
            </w:tcMar>
          </w:tcPr>
          <w:p>
            <w:pPr>
              <w:spacing w:after="0" w:before="0" w:line="240" w:lineRule="auto"/>
            </w:pPr>
            <w:r>
              <w:rPr>
                <w:sz w:val="17"/>
              </w:rPr>
              <w:t>3,43 млн ₽</w:t>
            </w:r>
          </w:p>
        </w:tc>
      </w:tr>
      <w:tr>
        <w:tc>
          <w:tcPr>
            <w:tcW w:type="dxa" w:w="1080"/>
            <w:vAlign w:val="center"/>
            <w:tcMar>
              <w:top w:w="90" w:type="dxa"/>
              <w:start w:w="110" w:type="dxa"/>
              <w:bottom w:w="90" w:type="dxa"/>
              <w:end w:w="110" w:type="dxa"/>
            </w:tcMar>
          </w:tcPr>
          <w:p>
            <w:pPr>
              <w:spacing w:after="0" w:before="0" w:line="240" w:lineRule="auto"/>
            </w:pPr>
            <w:r>
              <w:rPr>
                <w:sz w:val="17"/>
              </w:rPr>
              <w:t>6</w:t>
            </w:r>
          </w:p>
        </w:tc>
        <w:tc>
          <w:tcPr>
            <w:tcW w:type="dxa" w:w="1872"/>
            <w:vAlign w:val="center"/>
            <w:tcMar>
              <w:top w:w="90" w:type="dxa"/>
              <w:start w:w="110" w:type="dxa"/>
              <w:bottom w:w="90" w:type="dxa"/>
              <w:end w:w="110" w:type="dxa"/>
            </w:tcMar>
          </w:tcPr>
          <w:p>
            <w:pPr>
              <w:spacing w:after="0" w:before="0" w:line="240" w:lineRule="auto"/>
            </w:pPr>
            <w:r>
              <w:rPr>
                <w:sz w:val="17"/>
              </w:rPr>
              <w:t>8,458 млн ед.</w:t>
            </w:r>
          </w:p>
        </w:tc>
        <w:tc>
          <w:tcPr>
            <w:tcW w:type="dxa" w:w="1728"/>
            <w:vAlign w:val="center"/>
            <w:tcMar>
              <w:top w:w="90" w:type="dxa"/>
              <w:start w:w="110" w:type="dxa"/>
              <w:bottom w:w="90" w:type="dxa"/>
              <w:end w:w="110" w:type="dxa"/>
            </w:tcMar>
          </w:tcPr>
          <w:p>
            <w:pPr>
              <w:spacing w:after="0" w:before="0" w:line="240" w:lineRule="auto"/>
            </w:pPr>
            <w:r>
              <w:rPr>
                <w:sz w:val="17"/>
              </w:rPr>
              <w:t>4,11%</w:t>
            </w:r>
          </w:p>
        </w:tc>
        <w:tc>
          <w:tcPr>
            <w:tcW w:type="dxa" w:w="2016"/>
            <w:vAlign w:val="center"/>
            <w:tcMar>
              <w:top w:w="90" w:type="dxa"/>
              <w:start w:w="110" w:type="dxa"/>
              <w:bottom w:w="90" w:type="dxa"/>
              <w:end w:w="110" w:type="dxa"/>
            </w:tcMar>
          </w:tcPr>
          <w:p>
            <w:pPr>
              <w:spacing w:after="0" w:before="0" w:line="240" w:lineRule="auto"/>
            </w:pPr>
            <w:r>
              <w:rPr>
                <w:sz w:val="17"/>
              </w:rPr>
              <w:t>41,1 млн ₽</w:t>
            </w:r>
          </w:p>
        </w:tc>
        <w:tc>
          <w:tcPr>
            <w:tcW w:type="dxa" w:w="2160"/>
            <w:vAlign w:val="center"/>
            <w:tcMar>
              <w:top w:w="90" w:type="dxa"/>
              <w:start w:w="110" w:type="dxa"/>
              <w:bottom w:w="90" w:type="dxa"/>
              <w:end w:w="110" w:type="dxa"/>
            </w:tcMar>
          </w:tcPr>
          <w:p>
            <w:pPr>
              <w:spacing w:after="0" w:before="0" w:line="240" w:lineRule="auto"/>
            </w:pPr>
            <w:r>
              <w:rPr>
                <w:sz w:val="17"/>
              </w:rPr>
              <w:t>3,87 млн ₽</w:t>
            </w:r>
          </w:p>
        </w:tc>
      </w:tr>
      <w:tr>
        <w:tc>
          <w:tcPr>
            <w:tcW w:type="dxa" w:w="1080"/>
            <w:vAlign w:val="center"/>
            <w:tcMar>
              <w:top w:w="90" w:type="dxa"/>
              <w:start w:w="110" w:type="dxa"/>
              <w:bottom w:w="90" w:type="dxa"/>
              <w:end w:w="110" w:type="dxa"/>
            </w:tcMar>
          </w:tcPr>
          <w:p>
            <w:pPr>
              <w:spacing w:after="0" w:before="0" w:line="240" w:lineRule="auto"/>
            </w:pPr>
            <w:r>
              <w:rPr>
                <w:sz w:val="17"/>
              </w:rPr>
              <w:t>7</w:t>
            </w:r>
          </w:p>
        </w:tc>
        <w:tc>
          <w:tcPr>
            <w:tcW w:type="dxa" w:w="1872"/>
            <w:vAlign w:val="center"/>
            <w:tcMar>
              <w:top w:w="90" w:type="dxa"/>
              <w:start w:w="110" w:type="dxa"/>
              <w:bottom w:w="90" w:type="dxa"/>
              <w:end w:w="110" w:type="dxa"/>
            </w:tcMar>
          </w:tcPr>
          <w:p>
            <w:pPr>
              <w:spacing w:after="0" w:before="0" w:line="240" w:lineRule="auto"/>
            </w:pPr>
            <w:r>
              <w:rPr>
                <w:sz w:val="17"/>
              </w:rPr>
              <w:t>9,161 млн ед.</w:t>
            </w:r>
          </w:p>
        </w:tc>
        <w:tc>
          <w:tcPr>
            <w:tcW w:type="dxa" w:w="1728"/>
            <w:vAlign w:val="center"/>
            <w:tcMar>
              <w:top w:w="90" w:type="dxa"/>
              <w:start w:w="110" w:type="dxa"/>
              <w:bottom w:w="90" w:type="dxa"/>
              <w:end w:w="110" w:type="dxa"/>
            </w:tcMar>
          </w:tcPr>
          <w:p>
            <w:pPr>
              <w:spacing w:after="0" w:before="0" w:line="240" w:lineRule="auto"/>
            </w:pPr>
            <w:r>
              <w:rPr>
                <w:sz w:val="17"/>
              </w:rPr>
              <w:t>4,46%</w:t>
            </w:r>
          </w:p>
        </w:tc>
        <w:tc>
          <w:tcPr>
            <w:tcW w:type="dxa" w:w="2016"/>
            <w:vAlign w:val="center"/>
            <w:tcMar>
              <w:top w:w="90" w:type="dxa"/>
              <w:start w:w="110" w:type="dxa"/>
              <w:bottom w:w="90" w:type="dxa"/>
              <w:end w:w="110" w:type="dxa"/>
            </w:tcMar>
          </w:tcPr>
          <w:p>
            <w:pPr>
              <w:spacing w:after="0" w:before="0" w:line="240" w:lineRule="auto"/>
            </w:pPr>
            <w:r>
              <w:rPr>
                <w:sz w:val="17"/>
              </w:rPr>
              <w:t>44,6 млн ₽</w:t>
            </w:r>
          </w:p>
        </w:tc>
        <w:tc>
          <w:tcPr>
            <w:tcW w:type="dxa" w:w="2160"/>
            <w:vAlign w:val="center"/>
            <w:tcMar>
              <w:top w:w="90" w:type="dxa"/>
              <w:start w:w="110" w:type="dxa"/>
              <w:bottom w:w="90" w:type="dxa"/>
              <w:end w:w="110" w:type="dxa"/>
            </w:tcMar>
          </w:tcPr>
          <w:p>
            <w:pPr>
              <w:spacing w:after="0" w:before="0" w:line="240" w:lineRule="auto"/>
            </w:pPr>
            <w:r>
              <w:rPr>
                <w:sz w:val="17"/>
              </w:rPr>
              <w:t>4,12 млн ₽</w:t>
            </w:r>
          </w:p>
        </w:tc>
      </w:tr>
      <w:tr>
        <w:tc>
          <w:tcPr>
            <w:tcW w:type="dxa" w:w="1080"/>
            <w:vAlign w:val="center"/>
            <w:tcMar>
              <w:top w:w="90" w:type="dxa"/>
              <w:start w:w="110" w:type="dxa"/>
              <w:bottom w:w="90" w:type="dxa"/>
              <w:end w:w="110" w:type="dxa"/>
            </w:tcMar>
          </w:tcPr>
          <w:p>
            <w:pPr>
              <w:spacing w:after="0" w:before="0" w:line="240" w:lineRule="auto"/>
            </w:pPr>
            <w:r>
              <w:rPr>
                <w:sz w:val="17"/>
              </w:rPr>
              <w:t>8</w:t>
            </w:r>
          </w:p>
        </w:tc>
        <w:tc>
          <w:tcPr>
            <w:tcW w:type="dxa" w:w="1872"/>
            <w:vAlign w:val="center"/>
            <w:tcMar>
              <w:top w:w="90" w:type="dxa"/>
              <w:start w:w="110" w:type="dxa"/>
              <w:bottom w:w="90" w:type="dxa"/>
              <w:end w:w="110" w:type="dxa"/>
            </w:tcMar>
          </w:tcPr>
          <w:p>
            <w:pPr>
              <w:spacing w:after="0" w:before="0" w:line="240" w:lineRule="auto"/>
            </w:pPr>
            <w:r>
              <w:rPr>
                <w:sz w:val="17"/>
              </w:rPr>
              <w:t>9,505 млн ед.</w:t>
            </w:r>
          </w:p>
        </w:tc>
        <w:tc>
          <w:tcPr>
            <w:tcW w:type="dxa" w:w="1728"/>
            <w:vAlign w:val="center"/>
            <w:tcMar>
              <w:top w:w="90" w:type="dxa"/>
              <w:start w:w="110" w:type="dxa"/>
              <w:bottom w:w="90" w:type="dxa"/>
              <w:end w:w="110" w:type="dxa"/>
            </w:tcMar>
          </w:tcPr>
          <w:p>
            <w:pPr>
              <w:spacing w:after="0" w:before="0" w:line="240" w:lineRule="auto"/>
            </w:pPr>
            <w:r>
              <w:rPr>
                <w:sz w:val="17"/>
              </w:rPr>
              <w:t>4,62%</w:t>
            </w:r>
          </w:p>
        </w:tc>
        <w:tc>
          <w:tcPr>
            <w:tcW w:type="dxa" w:w="2016"/>
            <w:vAlign w:val="center"/>
            <w:tcMar>
              <w:top w:w="90" w:type="dxa"/>
              <w:start w:w="110" w:type="dxa"/>
              <w:bottom w:w="90" w:type="dxa"/>
              <w:end w:w="110" w:type="dxa"/>
            </w:tcMar>
          </w:tcPr>
          <w:p>
            <w:pPr>
              <w:spacing w:after="0" w:before="0" w:line="240" w:lineRule="auto"/>
            </w:pPr>
            <w:r>
              <w:rPr>
                <w:sz w:val="17"/>
              </w:rPr>
              <w:t>46,2 млн ₽</w:t>
            </w:r>
          </w:p>
        </w:tc>
        <w:tc>
          <w:tcPr>
            <w:tcW w:type="dxa" w:w="2160"/>
            <w:vAlign w:val="center"/>
            <w:tcMar>
              <w:top w:w="90" w:type="dxa"/>
              <w:start w:w="110" w:type="dxa"/>
              <w:bottom w:w="90" w:type="dxa"/>
              <w:end w:w="110" w:type="dxa"/>
            </w:tcMar>
          </w:tcPr>
          <w:p>
            <w:pPr>
              <w:spacing w:after="0" w:before="0" w:line="240" w:lineRule="auto"/>
            </w:pPr>
            <w:r>
              <w:rPr>
                <w:sz w:val="17"/>
              </w:rPr>
              <w:t>4,22 млн ₽</w:t>
            </w:r>
          </w:p>
        </w:tc>
      </w:tr>
    </w:tbl>
    <w:p>
      <w:r>
        <w:t>За годы 5–8 команда получила бы около 167,1 млн ₽, а один постоянный участник с пакетом в каждом из пяти лет — около 15,64 млн ₽ до личных налогов. После полного закрепления всех выданных прав ежегодный поток всей команды составил бы около 46,2 млн ₽ при неизменных допущениях.</w:t>
      </w:r>
    </w:p>
    <w:p>
      <w:r>
        <w:t>Дивиденды не гарантированы. Показатель 2 млрд ₽ сам по себе не равен прибыли и деньгам, доступным для распределения. Нужны достаточный денежный поток, отсутствие ограничений по долгу и отдельное решение владельцев; в конкретном году выплата может быть нулевой.</w:t>
      </w:r>
    </w:p>
    <w:p>
      <w:pPr>
        <w:pStyle w:val="Heading2"/>
      </w:pPr>
      <w:r>
        <w:t>Пример 7. Добросовестный уход через 18 месяцев</w:t>
      </w:r>
    </w:p>
    <w:p>
      <w:r>
        <w:t>Если Мария уходит по соглашению сторон через 18 месяцев после начала закрепления права по первому пакету, у нее остается 50%, или примерно 197 917 единиц. Остальная половина возвращается в общий резерв. При цене 77,83 ₽ за единицу условная валовая стоимость сохраненной части к продаже составляет около 15,4 млн ₽.</w:t>
      </w:r>
    </w:p>
    <w:p>
      <w:r>
        <w:rPr>
          <w:b/>
        </w:rPr>
        <w:t xml:space="preserve">Вывод для участника: </w:t>
      </w:r>
      <w:r>
        <w:t>каждый год создает отдельный пакет; стоимость фиксируется на старте года, результат подтверждается в конце, а право закрепляется следующие 36 месяцев. Реальные деньги возникают только при продаже, дивидендах или другой предусмотренной выплате.</w:t>
      </w:r>
    </w:p>
    <w:p>
      <w:r>
        <w:rPr>
          <w:b/>
        </w:rPr>
        <w:t xml:space="preserve">Вывод для инвестора: </w:t>
      </w:r>
      <w:r>
        <w:t>в модели одновременно видны 4 млрд ₽ привлеченных денег, 51,4% совокупного размытия, 95,0% использования программы и незакрепленная часть, которая еще не подлежит выплате.</w:t>
      </w:r>
    </w:p>
    <w:p w:rsidR="00000000" w:rsidDel="00000000" w:rsidP="00000000" w:rsidRDefault="00000000" w:rsidRPr="00000000" w14:paraId="0000007B">
      <w:pPr>
        <w:pStyle w:val="Heading1"/>
        <w:pageBreakBefore w:val="1"/>
        <w:rPr/>
      </w:pPr>
      <w:r w:rsidDel="00000000" w:rsidR="00000000" w:rsidRPr="00000000">
        <w:rPr>
          <w:b w:val="1"/>
          <w:bCs w:val="1"/>
          <w:rtl w:val="0"/>
        </w:rPr>
        <w:t>ПРИЛОЖЕНИЕ 2</w:t>
      </w:r>
      <w:r w:rsidDel="00000000" w:rsidR="00000000" w:rsidRPr="00000000">
        <w:rPr>
          <w:rtl w:val="0"/>
        </w:rPr>
      </w:r>
    </w:p>
    <w:p w:rsidR="00000000" w:rsidDel="00000000" w:rsidP="00000000" w:rsidRDefault="00000000" w:rsidRPr="00000000" w14:paraId="0000007C">
      <w:pPr>
        <w:pStyle w:val="Heading1"/>
        <w:keepNext w:val="1"/>
        <w:spacing w:after="80" w:before="200" w:lineRule="auto"/>
        <w:rPr/>
      </w:pPr>
      <w:r w:rsidDel="00000000" w:rsidR="00000000" w:rsidRPr="00000000">
        <w:rPr>
          <w:b w:val="1"/>
          <w:bCs w:val="1"/>
          <w:rtl w:val="0"/>
        </w:rPr>
        <w:t>Словарь терминов</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В основном тексте используются русские названия. В скобках указаны распространенные деловые обозначения, которые могут встречаться в документах инвесторов и консультантов.</w:t>
      </w:r>
    </w:p>
    <w:p w:rsidR="00000000" w:rsidDel="00000000" w:rsidP="00000000" w:rsidRDefault="00000000" w:rsidRPr="00000000" w14:paraId="000000BF">
      <w:pPr>
        <w:spacing w:after="0" w:before="160" w:lineRule="auto"/>
        <w:rPr/>
      </w:pPr>
      <w:r>
        <w:t>Настоящий документ описывает рекомендуемую экономическую конструкцию. Формальное решение владельцев, окончательный план, индивидуальные уведомления, налоговая и бухгалтерская квалификация определяют юридические права и имеют приоритет. Для расчетных единиц с денежным расчетом обязательство и расходы могут переоцениваться в отчетности, даже если договорная начальная цена зафиксирована. До утверждения окончательных документов фактические права не возникают.</w:t>
      </w:r>
    </w:p>
    <w:tbl>
      <w:tblPr>
        <w:tblStyle w:val="Table5"/>
        <w:tblW w:w="8928" w:type="dxa"/>
        <w:jc w:val="left"/>
        <w:tblBorders>
          <w:top w:color="AAB2BD" w:space="0" w:sz="4" w:val="single"/>
          <w:left w:color="b7b7b7" w:space="0" w:sz="6" w:val="single"/>
          <w:bottom w:color="AAB2BD" w:space="0" w:sz="4" w:val="single"/>
          <w:right w:color="b7b7b7" w:space="0" w:sz="6" w:val="single"/>
          <w:insideH w:color="AAB2BD" w:space="0" w:sz="4" w:val="single"/>
          <w:insideV w:color="AAB2BD" w:space="0" w:sz="4" w:val="single"/>
          <w:start w:val="single" w:sz="4" w:space="0" w:color="AAB2BD"/>
          <w:end w:val="single" w:sz="4" w:space="0" w:color="AAB2BD"/>
        </w:tblBorders>
        <w:tblLayout w:type="fixed"/>
        <w:tblLook w:val="0400"/>
        <w:tblInd w:w="110" w:type="dxa"/>
      </w:tblPr>
      <w:tblGrid>
        <w:gridCol w:w="3168"/>
        <w:gridCol w:w="5760"/>
      </w:tblGrid>
      <w:tr>
        <w:trPr>
          <w:cantSplit w:val="1"/>
          <w:tblHeader w:val="1"/>
          <w:tblHeader w:val="true"/>
        </w:trPr>
        <w:tc>
          <w:tcPr>
            <w:tcMar>
              <w:top w:w="90" w:type="dxa"/>
              <w:left w:w="75.0" w:type="dxa"/>
              <w:bottom w:w="90" w:type="dxa"/>
              <w:right w:w="75.0" w:type="dxa"/>
              <w:start w:w="110" w:type="dxa"/>
              <w:end w:w="110" w:type="dxa"/>
            </w:tcMar>
            <w:tcW w:type="dxa" w:w="3168"/>
            <w:shd w:fill="0F1722"/>
            <w:vAlign w:val="center"/>
          </w:tcPr>
          <w:p w:rsidR="00000000" w:rsidDel="00000000" w:rsidP="00000000" w:rsidRDefault="00000000" w:rsidRPr="00000000" w14:paraId="0000007E">
            <w:pPr>
              <w:spacing w:after="0" w:line="240" w:lineRule="auto" w:before="0"/>
              <w:rPr/>
            </w:pPr>
            <w:r w:rsidDel="00000000" w:rsidR="00000000" w:rsidRPr="00000000">
              <w:rPr>
                <w:b/>
                <w:bCs w:val="1"/>
                <w:color w:val="FFFFFF"/>
                <w:sz w:val="17"/>
                <w:szCs w:val="20"/>
                <w:rtl w:val="0"/>
              </w:rPr>
              <w:t>Термин</w:t>
            </w:r>
            <w:r w:rsidDel="00000000" w:rsidR="00000000" w:rsidRPr="00000000">
              <w:rPr>
                <w:b/>
                <w:color w:val="FFFFFF"/>
                <w:sz w:val="17"/>
                <w:rtl w:val="0"/>
              </w:rPr>
            </w:r>
          </w:p>
        </w:tc>
        <w:tc>
          <w:tcPr>
            <w:tcMar>
              <w:top w:w="90" w:type="dxa"/>
              <w:left w:w="75.0" w:type="dxa"/>
              <w:bottom w:w="90" w:type="dxa"/>
              <w:right w:w="75.0" w:type="dxa"/>
              <w:start w:w="110" w:type="dxa"/>
              <w:end w:w="110" w:type="dxa"/>
            </w:tcMar>
            <w:tcW w:type="dxa" w:w="5760"/>
            <w:shd w:fill="0F1722"/>
            <w:vAlign w:val="center"/>
          </w:tcPr>
          <w:p w:rsidR="00000000" w:rsidDel="00000000" w:rsidP="00000000" w:rsidRDefault="00000000" w:rsidRPr="00000000" w14:paraId="0000007F">
            <w:pPr>
              <w:spacing w:after="0" w:line="240" w:lineRule="auto" w:before="0"/>
              <w:rPr/>
            </w:pPr>
            <w:r w:rsidDel="00000000" w:rsidR="00000000" w:rsidRPr="00000000">
              <w:rPr>
                <w:b/>
                <w:bCs w:val="1"/>
                <w:color w:val="FFFFFF"/>
                <w:sz w:val="17"/>
                <w:szCs w:val="20"/>
                <w:rtl w:val="0"/>
              </w:rPr>
              <w:t>Что означает</w:t>
            </w:r>
            <w:r w:rsidDel="00000000" w:rsidR="00000000" w:rsidRPr="00000000">
              <w:rPr>
                <w:b/>
                <w:color w:val="FFFFFF"/>
                <w:sz w:val="17"/>
                <w:rtl w:val="0"/>
              </w:rPr>
            </w:r>
          </w:p>
        </w:tc>
      </w:tr>
      <w:tr>
        <w:trPr>
          <w:cantSplit w:val="1"/>
          <w:tblHeader w:val="0"/>
        </w:trPr>
        <w:tc>
          <w:tcPr>
            <w:tcW w:type="dxa" w:w="3168"/>
            <w:tcMar>
              <w:top w:w="90" w:type="dxa"/>
              <w:left w:w="75.0" w:type="dxa"/>
              <w:bottom w:w="90" w:type="dxa"/>
              <w:right w:w="75.0" w:type="dxa"/>
              <w:start w:w="110" w:type="dxa"/>
              <w:end w:w="110" w:type="dxa"/>
            </w:tcMar>
            <w:vAlign w:val="center"/>
          </w:tcPr>
          <w:p w:rsidR="00000000" w:rsidDel="00000000" w:rsidP="00000000" w:rsidRDefault="00000000" w:rsidRPr="00000000" w14:paraId="00000080">
            <w:pPr>
              <w:spacing w:after="0" w:line="240" w:lineRule="auto" w:before="0"/>
              <w:rPr/>
            </w:pPr>
            <w:r w:rsidDel="00000000" w:rsidR="00000000" w:rsidRPr="00000000">
              <w:rPr>
                <w:sz w:val="17"/>
                <w:szCs w:val="20"/>
                <w:rtl w:val="0"/>
              </w:rPr>
              <w:t>Долгосрочная программа участия команды (LTI)</w:t>
            </w:r>
            <w:r w:rsidDel="00000000" w:rsidR="00000000" w:rsidRPr="00000000">
              <w:rPr>
                <w:sz w:val="17"/>
                <w:rtl w:val="0"/>
              </w:rPr>
            </w:r>
          </w:p>
        </w:tc>
        <w:tc>
          <w:tcPr>
            <w:tcW w:type="dxa" w:w="5760"/>
            <w:tcMar>
              <w:top w:w="90" w:type="dxa"/>
              <w:left w:w="75.0" w:type="dxa"/>
              <w:bottom w:w="90" w:type="dxa"/>
              <w:right w:w="75.0" w:type="dxa"/>
              <w:start w:w="110" w:type="dxa"/>
              <w:end w:w="110" w:type="dxa"/>
            </w:tcMar>
            <w:vAlign w:val="center"/>
          </w:tcPr>
          <w:p w:rsidR="00000000" w:rsidDel="00000000" w:rsidP="00000000" w:rsidRDefault="00000000" w:rsidRPr="00000000" w14:paraId="00000081">
            <w:pPr>
              <w:spacing w:after="0" w:line="240" w:lineRule="auto" w:before="0"/>
              <w:rPr/>
            </w:pPr>
            <w:r w:rsidDel="00000000" w:rsidR="00000000" w:rsidRPr="00000000">
              <w:rPr>
                <w:sz w:val="17"/>
                <w:rtl w:val="0"/>
              </w:rPr>
              <w:t>Система привлечения и удержания сильных людей, при которой участник получает часть полной экономической стоимости компании, а права переходят к нему постепенно в течение нескольких лет.</w:t>
            </w:r>
          </w:p>
        </w:tc>
      </w:tr>
      <w:tr>
        <w:trPr>
          <w:cantSplit w:val="0"/>
          <w:tblHeader w:val="0"/>
        </w:trPr>
        <w:tc>
          <w:tcPr>
            <w:tcW w:type="dxa" w:w="3168"/>
            <w:vAlign w:val="center"/>
            <w:tcMar>
              <w:top w:w="90" w:type="dxa"/>
              <w:start w:w="110" w:type="dxa"/>
              <w:bottom w:w="90" w:type="dxa"/>
              <w:end w:w="110" w:type="dxa"/>
            </w:tcMar>
          </w:tcPr>
          <w:p w:rsidR="00000000" w:rsidDel="00000000" w:rsidP="00000000" w:rsidRDefault="00000000" w:rsidRPr="00000000" w14:paraId="00000082">
            <w:pPr>
              <w:spacing w:after="0" w:lineRule="auto" w:before="0" w:line="240"/>
              <w:rPr/>
            </w:pPr>
            <w:r w:rsidDel="00000000" w:rsidR="00000000" w:rsidRPr="00000000">
              <w:rPr>
                <w:sz w:val="17"/>
                <w:szCs w:val="20"/>
                <w:rtl w:val="0"/>
              </w:rPr>
              <w:t>Премия за текущий результат</w:t>
            </w:r>
            <w:r w:rsidDel="00000000" w:rsidR="00000000" w:rsidRPr="00000000">
              <w:rPr>
                <w:sz w:val="17"/>
                <w:rtl w:val="0"/>
              </w:rPr>
            </w:r>
          </w:p>
        </w:tc>
        <w:tc>
          <w:tcPr>
            <w:tcW w:type="dxa" w:w="5760"/>
            <w:vAlign w:val="center"/>
            <w:tcMar>
              <w:top w:w="90" w:type="dxa"/>
              <w:start w:w="110" w:type="dxa"/>
              <w:bottom w:w="90" w:type="dxa"/>
              <w:end w:w="110" w:type="dxa"/>
            </w:tcMar>
          </w:tcPr>
          <w:p w:rsidR="00000000" w:rsidDel="00000000" w:rsidP="00000000" w:rsidRDefault="00000000" w:rsidRPr="00000000" w14:paraId="00000083">
            <w:pPr>
              <w:spacing w:after="0" w:lineRule="auto" w:before="0" w:line="240"/>
              <w:rPr/>
            </w:pPr>
            <w:r w:rsidDel="00000000" w:rsidR="00000000" w:rsidRPr="00000000">
              <w:rPr>
                <w:sz w:val="17"/>
                <w:szCs w:val="20"/>
                <w:rtl w:val="0"/>
              </w:rPr>
              <w:t>Отдельная денежная премия за квартал, проект, этап или конкретную задачу, согласованную с непосредственным руководителем. Она не уменьшает пакет LTI.</w:t>
            </w:r>
            <w:r w:rsidDel="00000000" w:rsidR="00000000" w:rsidRPr="00000000">
              <w:rPr>
                <w:sz w:val="17"/>
                <w:rtl w:val="0"/>
              </w:rPr>
            </w:r>
          </w:p>
        </w:tc>
      </w:tr>
      <w:tr>
        <w:trPr>
          <w:cantSplit w:val="0"/>
          <w:tblHeader w:val="0"/>
        </w:trPr>
        <w:tc>
          <w:tcPr>
            <w:tcW w:type="dxa" w:w="3168"/>
            <w:vAlign w:val="center"/>
            <w:tcMar>
              <w:top w:w="90" w:type="dxa"/>
              <w:start w:w="110" w:type="dxa"/>
              <w:bottom w:w="90" w:type="dxa"/>
              <w:end w:w="110" w:type="dxa"/>
            </w:tcMar>
          </w:tcPr>
          <w:p w:rsidR="00000000" w:rsidDel="00000000" w:rsidP="00000000" w:rsidRDefault="00000000" w:rsidRPr="00000000" w14:paraId="00000084">
            <w:pPr>
              <w:spacing w:after="0" w:lineRule="auto" w:before="0" w:line="240"/>
              <w:rPr/>
            </w:pPr>
            <w:r w:rsidDel="00000000" w:rsidR="00000000" w:rsidRPr="00000000">
              <w:rPr>
                <w:sz w:val="17"/>
                <w:szCs w:val="20"/>
                <w:rtl w:val="0"/>
              </w:rPr>
              <w:t>Годовой фиксированный оклад</w:t>
            </w:r>
            <w:r w:rsidDel="00000000" w:rsidR="00000000" w:rsidRPr="00000000">
              <w:rPr>
                <w:sz w:val="17"/>
                <w:rtl w:val="0"/>
              </w:rPr>
            </w:r>
          </w:p>
        </w:tc>
        <w:tc>
          <w:tcPr>
            <w:tcW w:type="dxa" w:w="5760"/>
            <w:vAlign w:val="center"/>
            <w:tcMar>
              <w:top w:w="90" w:type="dxa"/>
              <w:start w:w="110" w:type="dxa"/>
              <w:bottom w:w="90" w:type="dxa"/>
              <w:end w:w="110" w:type="dxa"/>
            </w:tcMar>
          </w:tcPr>
          <w:p w:rsidR="00000000" w:rsidDel="00000000" w:rsidP="00000000" w:rsidRDefault="00000000" w:rsidRPr="00000000" w14:paraId="00000085">
            <w:pPr>
              <w:spacing w:after="0" w:lineRule="auto" w:before="0" w:line="240"/>
              <w:rPr/>
            </w:pPr>
            <w:r w:rsidDel="00000000" w:rsidR="00000000" w:rsidRPr="00000000">
              <w:rPr>
                <w:sz w:val="17"/>
                <w:szCs w:val="20"/>
                <w:rtl w:val="0"/>
              </w:rPr>
              <w:t>Двенадцать месячных окладов без обычных премий и ранее выданных пакетов LTI.</w:t>
            </w:r>
            <w:r w:rsidDel="00000000" w:rsidR="00000000" w:rsidRPr="00000000">
              <w:rPr>
                <w:sz w:val="17"/>
                <w:rtl w:val="0"/>
              </w:rPr>
            </w:r>
          </w:p>
        </w:tc>
      </w:tr>
      <w:tr>
        <w:trPr>
          <w:cantSplit w:val="0"/>
          <w:tblHeader w:val="0"/>
        </w:trPr>
        <w:tc>
          <w:tcPr>
            <w:tcW w:type="dxa" w:w="3168"/>
            <w:vAlign w:val="center"/>
            <w:tcMar>
              <w:top w:w="90" w:type="dxa"/>
              <w:start w:w="110" w:type="dxa"/>
              <w:bottom w:w="90" w:type="dxa"/>
              <w:end w:w="110" w:type="dxa"/>
            </w:tcMar>
          </w:tcPr>
          <w:p w:rsidR="00000000" w:rsidDel="00000000" w:rsidP="00000000" w:rsidRDefault="00000000" w:rsidRPr="00000000" w14:paraId="00000086">
            <w:pPr>
              <w:spacing w:after="0" w:lineRule="auto" w:before="0" w:line="240"/>
              <w:rPr/>
            </w:pPr>
            <w:r w:rsidDel="00000000" w:rsidR="00000000" w:rsidRPr="00000000">
              <w:rPr>
                <w:sz w:val="17"/>
                <w:szCs w:val="20"/>
                <w:rtl w:val="0"/>
              </w:rPr>
              <w:t>Договорное право на будущие акции</w:t>
            </w:r>
            <w:r w:rsidDel="00000000" w:rsidR="00000000" w:rsidRPr="00000000">
              <w:rPr>
                <w:sz w:val="17"/>
                <w:rtl w:val="0"/>
              </w:rPr>
            </w:r>
          </w:p>
        </w:tc>
        <w:tc>
          <w:tcPr>
            <w:tcW w:type="dxa" w:w="5760"/>
            <w:vAlign w:val="center"/>
            <w:tcMar>
              <w:top w:w="90" w:type="dxa"/>
              <w:start w:w="110" w:type="dxa"/>
              <w:bottom w:w="90" w:type="dxa"/>
              <w:end w:w="110" w:type="dxa"/>
            </w:tcMar>
          </w:tcPr>
          <w:p w:rsidR="00000000" w:rsidDel="00000000" w:rsidP="00000000" w:rsidRDefault="00000000" w:rsidRPr="00000000" w14:paraId="00000087">
            <w:pPr>
              <w:spacing w:after="0" w:lineRule="auto" w:before="0" w:line="240"/>
              <w:rPr/>
            </w:pPr>
            <w:r w:rsidDel="00000000" w:rsidR="00000000" w:rsidRPr="00000000">
              <w:rPr>
                <w:sz w:val="17"/>
                <w:szCs w:val="20"/>
                <w:rtl w:val="0"/>
              </w:rPr>
              <w:t>Право по индивидуальному соглашению, которое действует до появления реальных акций. Само по себе оно не является долей в ООО и не дает права голоса.</w:t>
            </w:r>
            <w:r w:rsidDel="00000000" w:rsidR="00000000" w:rsidRPr="00000000">
              <w:rPr>
                <w:sz w:val="17"/>
                <w:rtl w:val="0"/>
              </w:rPr>
            </w:r>
          </w:p>
        </w:tc>
      </w:tr>
      <w:tr>
        <w:trPr>
          <w:cantSplit w:val="1"/>
          <w:tblHeader w:val="0"/>
        </w:trPr>
        <w:tc>
          <w:tcPr>
            <w:tcW w:type="dxa" w:w="3168"/>
            <w:tcMar>
              <w:top w:w="90" w:type="dxa"/>
              <w:left w:w="75.0" w:type="dxa"/>
              <w:bottom w:w="90" w:type="dxa"/>
              <w:right w:w="75.0" w:type="dxa"/>
              <w:start w:w="110" w:type="dxa"/>
              <w:end w:w="110" w:type="dxa"/>
            </w:tcMar>
            <w:vAlign w:val="center"/>
          </w:tcPr>
          <w:p w:rsidR="00000000" w:rsidDel="00000000" w:rsidP="00000000" w:rsidRDefault="00000000" w:rsidRPr="00000000" w14:paraId="00000088">
            <w:pPr>
              <w:spacing w:after="0" w:line="240" w:lineRule="auto" w:before="0"/>
              <w:rPr/>
            </w:pPr>
            <w:r w:rsidDel="00000000" w:rsidR="00000000" w:rsidRPr="00000000">
              <w:rPr>
                <w:sz w:val="17"/>
                <w:szCs w:val="20"/>
                <w:rtl w:val="0"/>
              </w:rPr>
              <w:t>Общий резерв программы</w:t>
            </w:r>
            <w:r w:rsidDel="00000000" w:rsidR="00000000" w:rsidRPr="00000000">
              <w:rPr>
                <w:sz w:val="17"/>
                <w:rtl w:val="0"/>
              </w:rPr>
            </w:r>
          </w:p>
        </w:tc>
        <w:tc>
          <w:tcPr>
            <w:tcW w:type="dxa" w:w="5760"/>
            <w:tcMar>
              <w:top w:w="90" w:type="dxa"/>
              <w:left w:w="75.0" w:type="dxa"/>
              <w:bottom w:w="90" w:type="dxa"/>
              <w:right w:w="75.0" w:type="dxa"/>
              <w:start w:w="110" w:type="dxa"/>
              <w:end w:w="110" w:type="dxa"/>
            </w:tcMar>
            <w:vAlign w:val="center"/>
          </w:tcPr>
          <w:p w:rsidR="00000000" w:rsidDel="00000000" w:rsidP="00000000" w:rsidRDefault="00000000" w:rsidRPr="00000000" w14:paraId="00000089">
            <w:pPr>
              <w:spacing w:after="0" w:line="240" w:lineRule="auto" w:before="0"/>
              <w:rPr/>
            </w:pPr>
            <w:r w:rsidDel="00000000" w:rsidR="00000000" w:rsidRPr="00000000">
              <w:rPr>
                <w:sz w:val="17"/>
                <w:rtl w:val="0"/>
              </w:rPr>
              <w:t>Предельная часть капитала, предусмотренная для всех текущих и будущих пакетов команды. Количество участников заранее не фиксируется.</w:t>
            </w:r>
          </w:p>
        </w:tc>
      </w:tr>
      <w:tr>
        <w:trPr>
          <w:cantSplit w:val="1"/>
          <w:tblHeader w:val="0"/>
        </w:trPr>
        <w:tc>
          <w:tcPr>
            <w:tcW w:type="dxa" w:w="3168"/>
            <w:tcMar>
              <w:top w:w="90" w:type="dxa"/>
              <w:left w:w="75.0" w:type="dxa"/>
              <w:bottom w:w="90" w:type="dxa"/>
              <w:right w:w="75.0" w:type="dxa"/>
              <w:start w:w="110" w:type="dxa"/>
              <w:end w:w="110" w:type="dxa"/>
            </w:tcMar>
            <w:vAlign w:val="center"/>
          </w:tcPr>
          <w:p w:rsidR="00000000" w:rsidDel="00000000" w:rsidP="00000000" w:rsidRDefault="00000000" w:rsidRPr="00000000" w14:paraId="0000008A">
            <w:pPr>
              <w:spacing w:after="0" w:line="240" w:lineRule="auto" w:before="0"/>
              <w:rPr/>
            </w:pPr>
            <w:r w:rsidDel="00000000" w:rsidR="00000000" w:rsidRPr="00000000">
              <w:rPr>
                <w:sz w:val="17"/>
                <w:szCs w:val="20"/>
                <w:rtl w:val="0"/>
              </w:rPr>
              <w:t>Участник</w:t>
            </w:r>
            <w:r w:rsidDel="00000000" w:rsidR="00000000" w:rsidRPr="00000000">
              <w:rPr>
                <w:sz w:val="17"/>
                <w:rtl w:val="0"/>
              </w:rPr>
            </w:r>
          </w:p>
        </w:tc>
        <w:tc>
          <w:tcPr>
            <w:tcW w:type="dxa" w:w="5760"/>
            <w:tcMar>
              <w:top w:w="90" w:type="dxa"/>
              <w:left w:w="75.0" w:type="dxa"/>
              <w:bottom w:w="90" w:type="dxa"/>
              <w:right w:w="75.0" w:type="dxa"/>
              <w:start w:w="110" w:type="dxa"/>
              <w:end w:w="110" w:type="dxa"/>
            </w:tcMar>
            <w:vAlign w:val="center"/>
          </w:tcPr>
          <w:p w:rsidR="00000000" w:rsidDel="00000000" w:rsidP="00000000" w:rsidRDefault="00000000" w:rsidRPr="00000000" w14:paraId="0000008B">
            <w:pPr>
              <w:spacing w:after="0" w:line="240" w:lineRule="auto" w:before="0"/>
              <w:rPr/>
            </w:pPr>
            <w:r w:rsidDel="00000000" w:rsidR="00000000" w:rsidRPr="00000000">
              <w:rPr>
                <w:sz w:val="17"/>
                <w:szCs w:val="20"/>
                <w:rtl w:val="0"/>
              </w:rPr>
              <w:t>Сотрудник, руководитель или иной ключевой человек, которому Совет директоров утвердил индивидуальный пакет.</w:t>
            </w:r>
            <w:r w:rsidDel="00000000" w:rsidR="00000000" w:rsidRPr="00000000">
              <w:rPr>
                <w:sz w:val="17"/>
                <w:rtl w:val="0"/>
              </w:rPr>
            </w:r>
          </w:p>
        </w:tc>
      </w:tr>
      <w:tr>
        <w:trPr>
          <w:cantSplit w:val="1"/>
          <w:tblHeader w:val="0"/>
        </w:trPr>
        <w:tc>
          <w:tcPr>
            <w:tcW w:type="dxa" w:w="3168"/>
            <w:tcMar>
              <w:top w:w="90" w:type="dxa"/>
              <w:left w:w="75.0" w:type="dxa"/>
              <w:bottom w:w="90" w:type="dxa"/>
              <w:right w:w="75.0" w:type="dxa"/>
              <w:start w:w="110" w:type="dxa"/>
              <w:end w:w="110" w:type="dxa"/>
            </w:tcMar>
            <w:vAlign w:val="center"/>
          </w:tcPr>
          <w:p w:rsidR="00000000" w:rsidDel="00000000" w:rsidP="00000000" w:rsidRDefault="00000000" w:rsidRPr="00000000" w14:paraId="0000008C">
            <w:pPr>
              <w:spacing w:after="0" w:line="240" w:lineRule="auto" w:before="0"/>
              <w:rPr/>
            </w:pPr>
            <w:r w:rsidDel="00000000" w:rsidR="00000000" w:rsidRPr="00000000">
              <w:rPr>
                <w:sz w:val="17"/>
                <w:szCs w:val="20"/>
                <w:rtl w:val="0"/>
              </w:rPr>
              <w:t>Целевой годовой размер</w:t>
            </w:r>
            <w:r w:rsidDel="00000000" w:rsidR="00000000" w:rsidRPr="00000000">
              <w:rPr>
                <w:sz w:val="17"/>
                <w:rtl w:val="0"/>
              </w:rPr>
            </w:r>
          </w:p>
        </w:tc>
        <w:tc>
          <w:tcPr>
            <w:tcW w:type="dxa" w:w="5760"/>
            <w:tcMar>
              <w:top w:w="90" w:type="dxa"/>
              <w:left w:w="75.0" w:type="dxa"/>
              <w:bottom w:w="90" w:type="dxa"/>
              <w:right w:w="75.0" w:type="dxa"/>
              <w:start w:w="110" w:type="dxa"/>
              <w:end w:w="110" w:type="dxa"/>
            </w:tcMar>
            <w:vAlign w:val="center"/>
          </w:tcPr>
          <w:p w:rsidR="00000000" w:rsidDel="00000000" w:rsidP="00000000" w:rsidRDefault="00000000" w:rsidRPr="00000000" w14:paraId="0000008D">
            <w:pPr>
              <w:spacing w:after="0" w:lineRule="auto" w:before="0" w:line="240"/>
              <w:rPr/>
            </w:pPr>
            <w:r w:rsidDel="00000000" w:rsidR="00000000" w:rsidRPr="00000000">
              <w:rPr>
                <w:sz w:val="17"/>
                <w:rtl w:val="0"/>
              </w:rPr>
              <w:t>Размер от 0,25 до 1,0 годового фиксированного оклада, поименно установленный Советом директоров с учетом роли и влияния человека на результат компании.</w:t>
            </w:r>
          </w:p>
        </w:tc>
      </w:tr>
      <w:tr>
        <w:trPr>
          <w:cantSplit w:val="1"/>
          <w:tblHeader w:val="0"/>
        </w:trPr>
        <w:tc>
          <w:tcPr>
            <w:tcW w:type="dxa" w:w="3168"/>
            <w:tcMar>
              <w:top w:w="90" w:type="dxa"/>
              <w:left w:w="75.0" w:type="dxa"/>
              <w:bottom w:w="90" w:type="dxa"/>
              <w:right w:w="75.0" w:type="dxa"/>
              <w:start w:w="110" w:type="dxa"/>
              <w:end w:w="110" w:type="dxa"/>
            </w:tcMar>
            <w:vAlign w:val="center"/>
          </w:tcPr>
          <w:p w:rsidR="00000000" w:rsidDel="00000000" w:rsidP="00000000" w:rsidRDefault="00000000" w:rsidRPr="00000000" w14:paraId="0000008E">
            <w:pPr>
              <w:spacing w:after="0" w:line="240" w:lineRule="auto" w:before="0"/>
              <w:rPr/>
            </w:pPr>
            <w:r w:rsidDel="00000000" w:rsidR="00000000" w:rsidRPr="00000000">
              <w:rPr>
                <w:sz w:val="17"/>
                <w:szCs w:val="20"/>
                <w:rtl w:val="0"/>
              </w:rPr>
              <w:t>Утвержденная годовая сумма</w:t>
            </w:r>
            <w:r w:rsidDel="00000000" w:rsidR="00000000" w:rsidRPr="00000000">
              <w:rPr>
                <w:sz w:val="17"/>
                <w:rtl w:val="0"/>
              </w:rPr>
            </w:r>
          </w:p>
        </w:tc>
        <w:tc>
          <w:tcPr>
            <w:tcW w:type="dxa" w:w="5760"/>
            <w:tcMar>
              <w:top w:w="90" w:type="dxa"/>
              <w:left w:w="75.0" w:type="dxa"/>
              <w:bottom w:w="90" w:type="dxa"/>
              <w:right w:w="75.0" w:type="dxa"/>
              <w:start w:w="110" w:type="dxa"/>
              <w:end w:w="110" w:type="dxa"/>
            </w:tcMar>
            <w:vAlign w:val="center"/>
          </w:tcPr>
          <w:p w:rsidR="00000000" w:rsidDel="00000000" w:rsidP="00000000" w:rsidRDefault="00000000" w:rsidRPr="00000000" w14:paraId="0000008F">
            <w:pPr>
              <w:spacing w:after="0" w:line="240" w:lineRule="auto" w:before="0"/>
              <w:rPr/>
            </w:pPr>
            <w:r w:rsidDel="00000000" w:rsidR="00000000" w:rsidRPr="00000000">
              <w:rPr>
                <w:sz w:val="17"/>
                <w:szCs w:val="20"/>
                <w:rtl w:val="0"/>
              </w:rPr>
              <w:t>Сумма после применения итогового коэффициента и решения Совета директоров; используется только для расчета числа единиц.</w:t>
            </w:r>
            <w:r w:rsidDel="00000000" w:rsidR="00000000" w:rsidRPr="00000000">
              <w:rPr>
                <w:sz w:val="17"/>
                <w:rtl w:val="0"/>
              </w:rPr>
            </w:r>
          </w:p>
        </w:tc>
      </w:tr>
      <w:tr>
        <w:trPr>
          <w:cantSplit w:val="1"/>
          <w:tblHeader w:val="0"/>
        </w:trPr>
        <w:tc>
          <w:tcPr>
            <w:tcW w:type="dxa" w:w="3168"/>
            <w:tcMar>
              <w:top w:w="90" w:type="dxa"/>
              <w:left w:w="75.0" w:type="dxa"/>
              <w:bottom w:w="90" w:type="dxa"/>
              <w:right w:w="75.0" w:type="dxa"/>
              <w:start w:w="110" w:type="dxa"/>
              <w:end w:w="110" w:type="dxa"/>
            </w:tcMar>
            <w:vAlign w:val="center"/>
          </w:tcPr>
          <w:p w:rsidR="00000000" w:rsidDel="00000000" w:rsidP="00000000" w:rsidRDefault="00000000" w:rsidRPr="00000000" w14:paraId="00000090">
            <w:pPr>
              <w:spacing w:after="0" w:line="240" w:lineRule="auto" w:before="0"/>
              <w:rPr/>
            </w:pPr>
            <w:r w:rsidDel="00000000" w:rsidR="00000000" w:rsidRPr="00000000">
              <w:rPr>
                <w:sz w:val="17"/>
                <w:szCs w:val="20"/>
                <w:rtl w:val="0"/>
              </w:rPr>
              <w:t>Индивидуальный пакет</w:t>
            </w:r>
            <w:r w:rsidDel="00000000" w:rsidR="00000000" w:rsidRPr="00000000">
              <w:rPr>
                <w:sz w:val="17"/>
                <w:rtl w:val="0"/>
              </w:rPr>
            </w:r>
          </w:p>
        </w:tc>
        <w:tc>
          <w:tcPr>
            <w:tcW w:type="dxa" w:w="5760"/>
            <w:tcMar>
              <w:top w:w="90" w:type="dxa"/>
              <w:left w:w="75.0" w:type="dxa"/>
              <w:bottom w:w="90" w:type="dxa"/>
              <w:right w:w="75.0" w:type="dxa"/>
              <w:start w:w="110" w:type="dxa"/>
              <w:end w:w="110" w:type="dxa"/>
            </w:tcMar>
            <w:vAlign w:val="center"/>
          </w:tcPr>
          <w:p>
            <w:pPr>
              <w:spacing w:after="0" w:before="0" w:line="240" w:lineRule="auto"/>
            </w:pPr>
            <w:r>
              <w:rPr>
                <w:sz w:val="17"/>
              </w:rPr>
            </w:r>
            <w:r>
              <w:rPr>
                <w:b w:val="0"/>
                <w:sz w:val="17"/>
              </w:rPr>
              <w:t>Фиксированное число расчетных единиц, подтвержденное после годового результата или по входному решению. Сам по себе пакет одного цикла не дает права на следующий.</w:t>
            </w:r>
          </w:p>
        </w:tc>
      </w:tr>
      <w:tr>
        <w:trPr>
          <w:cantSplit w:val="1"/>
          <w:tblHeader w:val="0"/>
        </w:trPr>
        <w:tc>
          <w:tcPr>
            <w:tcW w:type="dxa" w:w="3168"/>
            <w:tcMar>
              <w:top w:w="90" w:type="dxa"/>
              <w:left w:w="75.0" w:type="dxa"/>
              <w:bottom w:w="90" w:type="dxa"/>
              <w:right w:w="75.0" w:type="dxa"/>
              <w:start w:w="110" w:type="dxa"/>
              <w:end w:w="110" w:type="dxa"/>
            </w:tcMar>
            <w:vAlign w:val="center"/>
          </w:tcPr>
          <w:p w:rsidR="00000000" w:rsidDel="00000000" w:rsidP="00000000" w:rsidRDefault="00000000" w:rsidRPr="00000000" w14:paraId="00000092">
            <w:pPr>
              <w:spacing w:after="0" w:line="240" w:lineRule="auto" w:before="0"/>
              <w:rPr/>
            </w:pPr>
            <w:r w:rsidDel="00000000" w:rsidR="00000000" w:rsidRPr="00000000">
              <w:rPr>
                <w:sz w:val="17"/>
                <w:szCs w:val="20"/>
                <w:rtl w:val="0"/>
              </w:rPr>
              <w:t>Расчетная единица</w:t>
            </w:r>
            <w:r w:rsidDel="00000000" w:rsidR="00000000" w:rsidRPr="00000000">
              <w:rPr>
                <w:sz w:val="17"/>
                <w:rtl w:val="0"/>
              </w:rPr>
            </w:r>
          </w:p>
        </w:tc>
        <w:tc>
          <w:tcPr>
            <w:tcW w:type="dxa" w:w="5760"/>
            <w:tcMar>
              <w:top w:w="90" w:type="dxa"/>
              <w:left w:w="75.0" w:type="dxa"/>
              <w:bottom w:w="90" w:type="dxa"/>
              <w:right w:w="75.0" w:type="dxa"/>
              <w:start w:w="110" w:type="dxa"/>
              <w:end w:w="110" w:type="dxa"/>
            </w:tcMar>
            <w:vAlign w:val="center"/>
          </w:tcPr>
          <w:p w:rsidR="00000000" w:rsidDel="00000000" w:rsidP="00000000" w:rsidRDefault="00000000" w:rsidRPr="00000000" w14:paraId="00000093">
            <w:pPr>
              <w:spacing w:after="0" w:line="240" w:lineRule="auto" w:before="0"/>
              <w:rPr/>
            </w:pPr>
            <w:r w:rsidDel="00000000" w:rsidR="00000000" w:rsidRPr="00000000">
              <w:rPr>
                <w:sz w:val="17"/>
                <w:szCs w:val="20"/>
                <w:rtl w:val="0"/>
              </w:rPr>
              <w:t>Договорная единица, стоимость которой связана со стоимостью одной обыкновенной акции или заранее определенной ее части. Пока реальных акций нет, она не дает корпоративных прав.</w:t>
            </w:r>
            <w:r w:rsidDel="00000000" w:rsidR="00000000" w:rsidRPr="00000000">
              <w:rPr>
                <w:sz w:val="17"/>
                <w:rtl w:val="0"/>
              </w:rPr>
            </w:r>
          </w:p>
        </w:tc>
      </w:tr>
      <w:tr>
        <w:trPr>
          <w:cantSplit w:val="1"/>
          <w:tblHeader w:val="0"/>
        </w:trPr>
        <w:tc>
          <w:tcPr>
            <w:tcW w:type="dxa" w:w="3168"/>
            <w:tcMar>
              <w:top w:w="90" w:type="dxa"/>
              <w:left w:w="75.0" w:type="dxa"/>
              <w:bottom w:w="90" w:type="dxa"/>
              <w:right w:w="75.0" w:type="dxa"/>
              <w:start w:w="110" w:type="dxa"/>
              <w:end w:w="110" w:type="dxa"/>
            </w:tcMar>
            <w:vAlign w:val="center"/>
          </w:tcPr>
          <w:p w:rsidR="00000000" w:rsidDel="00000000" w:rsidP="00000000" w:rsidRDefault="00000000" w:rsidRPr="00000000" w14:paraId="00000094">
            <w:pPr>
              <w:spacing w:after="0" w:line="240" w:lineRule="auto" w:before="0"/>
              <w:rPr/>
            </w:pPr>
            <w:r w:rsidDel="00000000" w:rsidR="00000000" w:rsidRPr="00000000">
              <w:rPr>
                <w:sz w:val="17"/>
                <w:szCs w:val="20"/>
                <w:rtl w:val="0"/>
              </w:rPr>
              <w:t>Эквивалент обыкновенной акции</w:t>
            </w:r>
            <w:r w:rsidDel="00000000" w:rsidR="00000000" w:rsidRPr="00000000">
              <w:rPr>
                <w:sz w:val="17"/>
                <w:rtl w:val="0"/>
              </w:rPr>
            </w:r>
          </w:p>
        </w:tc>
        <w:tc>
          <w:tcPr>
            <w:tcW w:type="dxa" w:w="5760"/>
            <w:tcMar>
              <w:top w:w="90" w:type="dxa"/>
              <w:left w:w="75.0" w:type="dxa"/>
              <w:bottom w:w="90" w:type="dxa"/>
              <w:right w:w="75.0" w:type="dxa"/>
              <w:start w:w="110" w:type="dxa"/>
              <w:end w:w="110" w:type="dxa"/>
            </w:tcMar>
            <w:vAlign w:val="center"/>
          </w:tcPr>
          <w:p w:rsidR="00000000" w:rsidDel="00000000" w:rsidP="00000000" w:rsidRDefault="00000000" w:rsidRPr="00000000" w14:paraId="00000095">
            <w:pPr>
              <w:spacing w:after="0" w:line="240" w:lineRule="auto" w:before="0"/>
              <w:rPr/>
            </w:pPr>
            <w:r w:rsidDel="00000000" w:rsidR="00000000" w:rsidRPr="00000000">
              <w:rPr>
                <w:sz w:val="17"/>
                <w:szCs w:val="20"/>
                <w:rtl w:val="0"/>
              </w:rPr>
              <w:t>Сопоставимая стоимость обычной акции без дополнительных преимуществ, которые могут быть у инвестора.</w:t>
            </w:r>
            <w:r w:rsidDel="00000000" w:rsidR="00000000" w:rsidRPr="00000000">
              <w:rPr>
                <w:sz w:val="17"/>
                <w:rtl w:val="0"/>
              </w:rPr>
            </w:r>
          </w:p>
        </w:tc>
      </w:tr>
      <w:tr>
        <w:trPr>
          <w:cantSplit w:val="1"/>
          <w:tblHeader w:val="0"/>
        </w:trPr>
        <w:tc>
          <w:tcPr>
            <w:tcW w:type="dxa" w:w="3168"/>
            <w:tcMar>
              <w:top w:w="90" w:type="dxa"/>
              <w:left w:w="75.0" w:type="dxa"/>
              <w:bottom w:w="90" w:type="dxa"/>
              <w:right w:w="75.0" w:type="dxa"/>
              <w:start w:w="110" w:type="dxa"/>
              <w:end w:w="110" w:type="dxa"/>
            </w:tcMar>
            <w:vAlign w:val="center"/>
          </w:tcPr>
          <w:p>
            <w:pPr>
              <w:spacing w:after="0" w:before="0" w:line="240" w:lineRule="auto"/>
            </w:pPr>
            <w:r>
              <w:rPr>
                <w:sz w:val="17"/>
              </w:rPr>
            </w:r>
            <w:r>
              <w:rPr>
                <w:b w:val="0"/>
                <w:sz w:val="17"/>
              </w:rPr>
              <w:t>Начальная цена единицы</w:t>
            </w:r>
          </w:p>
        </w:tc>
        <w:tc>
          <w:tcPr>
            <w:tcW w:type="dxa" w:w="5760"/>
            <w:tcMar>
              <w:top w:w="90" w:type="dxa"/>
              <w:left w:w="75.0" w:type="dxa"/>
              <w:bottom w:w="90" w:type="dxa"/>
              <w:right w:w="75.0" w:type="dxa"/>
              <w:start w:w="110" w:type="dxa"/>
              <w:end w:w="110" w:type="dxa"/>
            </w:tcMar>
            <w:vAlign w:val="center"/>
          </w:tcPr>
          <w:p>
            <w:pPr>
              <w:spacing w:after="0" w:before="0" w:line="240" w:lineRule="auto"/>
            </w:pPr>
            <w:r>
              <w:rPr>
                <w:sz w:val="17"/>
              </w:rPr>
            </w:r>
            <w:r>
              <w:rPr>
                <w:b w:val="0"/>
                <w:sz w:val="17"/>
              </w:rPr>
              <w:t>Стоимость эквивалента обыкновенной акции на начальную дату цикла: стоимость капитала делится на полностью разводненное число единиц. По этой цене итоговая сумма после года переводится в число единиц.</w:t>
            </w:r>
          </w:p>
        </w:tc>
      </w:tr>
      <w:tr>
        <w:trPr>
          <w:cantSplit w:val="1"/>
          <w:tblHeader w:val="0"/>
        </w:trPr>
        <w:tc>
          <w:tcPr>
            <w:tcW w:type="dxa" w:w="3168"/>
            <w:tcMar>
              <w:top w:w="90" w:type="dxa"/>
              <w:left w:w="75.0" w:type="dxa"/>
              <w:bottom w:w="90" w:type="dxa"/>
              <w:right w:w="75.0" w:type="dxa"/>
              <w:start w:w="110" w:type="dxa"/>
              <w:end w:w="110" w:type="dxa"/>
            </w:tcMar>
            <w:vAlign w:val="center"/>
          </w:tcPr>
          <w:p w:rsidR="00000000" w:rsidDel="00000000" w:rsidP="00000000" w:rsidRDefault="00000000" w:rsidRPr="00000000" w14:paraId="00000098">
            <w:pPr>
              <w:spacing w:after="0" w:line="240" w:lineRule="auto" w:before="0"/>
              <w:rPr/>
            </w:pPr>
            <w:r w:rsidDel="00000000" w:rsidR="00000000" w:rsidRPr="00000000">
              <w:rPr>
                <w:sz w:val="17"/>
                <w:szCs w:val="20"/>
                <w:rtl w:val="0"/>
              </w:rPr>
              <w:t>Оценка капитала</w:t>
            </w:r>
            <w:r w:rsidDel="00000000" w:rsidR="00000000" w:rsidRPr="00000000">
              <w:rPr>
                <w:sz w:val="17"/>
                <w:rtl w:val="0"/>
              </w:rPr>
            </w:r>
          </w:p>
        </w:tc>
        <w:tc>
          <w:tcPr>
            <w:tcW w:type="dxa" w:w="5760"/>
            <w:tcMar>
              <w:top w:w="90" w:type="dxa"/>
              <w:left w:w="75.0" w:type="dxa"/>
              <w:bottom w:w="90" w:type="dxa"/>
              <w:right w:w="75.0" w:type="dxa"/>
              <w:start w:w="110" w:type="dxa"/>
              <w:end w:w="110" w:type="dxa"/>
            </w:tcMar>
            <w:vAlign w:val="center"/>
          </w:tcPr>
          <w:p w:rsidR="00000000" w:rsidDel="00000000" w:rsidP="00000000" w:rsidRDefault="00000000" w:rsidRPr="00000000" w14:paraId="00000099">
            <w:pPr>
              <w:spacing w:after="0" w:line="240" w:lineRule="auto" w:before="0"/>
              <w:rPr/>
            </w:pPr>
            <w:r w:rsidDel="00000000" w:rsidR="00000000" w:rsidRPr="00000000">
              <w:rPr>
                <w:sz w:val="17"/>
                <w:szCs w:val="20"/>
                <w:rtl w:val="0"/>
              </w:rPr>
              <w:t>Стоимость долей или акций владельцев компании. Она отличается от стоимости всего бизнеса, если у компании есть долг или свободные денежные средства.</w:t>
            </w:r>
            <w:r w:rsidDel="00000000" w:rsidR="00000000" w:rsidRPr="00000000">
              <w:rPr>
                <w:sz w:val="17"/>
                <w:rtl w:val="0"/>
              </w:rPr>
            </w:r>
          </w:p>
        </w:tc>
      </w:tr>
      <w:tr>
        <w:trPr>
          <w:cantSplit w:val="1"/>
          <w:tblHeader w:val="0"/>
        </w:trPr>
        <w:tc>
          <w:tcPr>
            <w:tcW w:type="dxa" w:w="3168"/>
            <w:tcMar>
              <w:top w:w="90" w:type="dxa"/>
              <w:left w:w="75.0" w:type="dxa"/>
              <w:bottom w:w="90" w:type="dxa"/>
              <w:right w:w="75.0" w:type="dxa"/>
              <w:start w:w="110" w:type="dxa"/>
              <w:end w:w="110" w:type="dxa"/>
            </w:tcMar>
            <w:vAlign w:val="center"/>
          </w:tcPr>
          <w:p w:rsidR="00000000" w:rsidDel="00000000" w:rsidP="00000000" w:rsidRDefault="00000000" w:rsidRPr="00000000" w14:paraId="0000009A">
            <w:pPr>
              <w:spacing w:after="0" w:line="240" w:lineRule="auto" w:before="0"/>
              <w:rPr/>
            </w:pPr>
            <w:r w:rsidDel="00000000" w:rsidR="00000000" w:rsidRPr="00000000">
              <w:rPr>
                <w:sz w:val="17"/>
                <w:szCs w:val="20"/>
                <w:rtl w:val="0"/>
              </w:rPr>
              <w:t>Капитал с учетом всех прав (полностью разводненная база)</w:t>
            </w:r>
            <w:r w:rsidDel="00000000" w:rsidR="00000000" w:rsidRPr="00000000">
              <w:rPr>
                <w:sz w:val="17"/>
                <w:rtl w:val="0"/>
              </w:rPr>
            </w:r>
          </w:p>
        </w:tc>
        <w:tc>
          <w:tcPr>
            <w:tcW w:type="dxa" w:w="5760"/>
            <w:tcMar>
              <w:top w:w="90" w:type="dxa"/>
              <w:left w:w="75.0" w:type="dxa"/>
              <w:bottom w:w="90" w:type="dxa"/>
              <w:right w:w="75.0" w:type="dxa"/>
              <w:start w:w="110" w:type="dxa"/>
              <w:end w:w="110" w:type="dxa"/>
            </w:tcMar>
            <w:vAlign w:val="center"/>
          </w:tcPr>
          <w:p w:rsidR="00000000" w:rsidDel="00000000" w:rsidP="00000000" w:rsidRDefault="00000000" w:rsidRPr="00000000" w14:paraId="0000009B">
            <w:pPr>
              <w:spacing w:after="0" w:line="240" w:lineRule="auto" w:before="0"/>
              <w:rPr/>
            </w:pPr>
            <w:r w:rsidDel="00000000" w:rsidR="00000000" w:rsidRPr="00000000">
              <w:rPr>
                <w:sz w:val="17"/>
                <w:szCs w:val="20"/>
                <w:rtl w:val="0"/>
              </w:rPr>
              <w:t>Все существующие доли или акции плюс предусмотренные единицы, опционы и другие права, которые могут стать долями или акциями.</w:t>
            </w:r>
            <w:r w:rsidDel="00000000" w:rsidR="00000000" w:rsidRPr="00000000">
              <w:rPr>
                <w:sz w:val="17"/>
                <w:rtl w:val="0"/>
              </w:rPr>
            </w:r>
          </w:p>
        </w:tc>
      </w:tr>
      <w:tr>
        <w:trPr>
          <w:cantSplit w:val="1"/>
          <w:tblHeader w:val="0"/>
        </w:trPr>
        <w:tc>
          <w:tcPr>
            <w:tcW w:type="dxa" w:w="3168"/>
            <w:tcMar>
              <w:top w:w="90" w:type="dxa"/>
              <w:left w:w="75.0" w:type="dxa"/>
              <w:bottom w:w="90" w:type="dxa"/>
              <w:right w:w="75.0" w:type="dxa"/>
              <w:start w:w="110" w:type="dxa"/>
              <w:end w:w="110" w:type="dxa"/>
            </w:tcMar>
            <w:vAlign w:val="center"/>
          </w:tcPr>
          <w:p w:rsidR="00000000" w:rsidDel="00000000" w:rsidP="00000000" w:rsidRDefault="00000000" w:rsidRPr="00000000" w14:paraId="0000009C">
            <w:pPr>
              <w:spacing w:after="0" w:line="240" w:lineRule="auto" w:before="0"/>
              <w:rPr/>
            </w:pPr>
            <w:r w:rsidDel="00000000" w:rsidR="00000000" w:rsidRPr="00000000">
              <w:rPr>
                <w:sz w:val="17"/>
                <w:szCs w:val="20"/>
                <w:rtl w:val="0"/>
              </w:rPr>
              <w:t>Постепенное закрепление права</w:t>
            </w:r>
            <w:r w:rsidDel="00000000" w:rsidR="00000000" w:rsidRPr="00000000">
              <w:rPr>
                <w:sz w:val="17"/>
                <w:rtl w:val="0"/>
              </w:rPr>
            </w:r>
          </w:p>
        </w:tc>
        <w:tc>
          <w:tcPr>
            <w:tcW w:type="dxa" w:w="5760"/>
            <w:tcMar>
              <w:top w:w="90" w:type="dxa"/>
              <w:left w:w="75.0" w:type="dxa"/>
              <w:bottom w:w="90" w:type="dxa"/>
              <w:right w:w="75.0" w:type="dxa"/>
              <w:start w:w="110" w:type="dxa"/>
              <w:end w:w="110" w:type="dxa"/>
            </w:tcMar>
            <w:vAlign w:val="center"/>
          </w:tcPr>
          <w:p>
            <w:pPr>
              <w:spacing w:after="0" w:before="0" w:line="240" w:lineRule="auto"/>
            </w:pPr>
            <w:r>
              <w:rPr>
                <w:sz w:val="17"/>
              </w:rPr>
            </w:r>
            <w:r>
              <w:rPr>
                <w:b w:val="0"/>
                <w:sz w:val="17"/>
              </w:rPr>
              <w:t>Переход по 1/12 через каждые три месяца от даты начала закрепления права в течение 36 месяцев.</w:t>
            </w:r>
          </w:p>
        </w:tc>
      </w:tr>
      <w:tr>
        <w:trPr>
          <w:cantSplit w:val="1"/>
          <w:tblHeader w:val="0"/>
        </w:trPr>
        <w:tc>
          <w:tcPr>
            <w:tcW w:type="dxa" w:w="3168"/>
            <w:tcMar>
              <w:top w:w="90" w:type="dxa"/>
              <w:left w:w="75.0" w:type="dxa"/>
              <w:bottom w:w="90" w:type="dxa"/>
              <w:right w:w="75.0" w:type="dxa"/>
              <w:start w:w="110" w:type="dxa"/>
              <w:end w:w="110" w:type="dxa"/>
            </w:tcMar>
            <w:vAlign w:val="center"/>
          </w:tcPr>
          <w:p w:rsidR="00000000" w:rsidDel="00000000" w:rsidP="00000000" w:rsidRDefault="00000000" w:rsidRPr="00000000" w14:paraId="0000009E">
            <w:pPr>
              <w:spacing w:after="0" w:line="240" w:lineRule="auto" w:before="0"/>
              <w:rPr/>
            </w:pPr>
            <w:r w:rsidDel="00000000" w:rsidR="00000000" w:rsidRPr="00000000">
              <w:rPr>
                <w:sz w:val="17"/>
                <w:szCs w:val="20"/>
                <w:rtl w:val="0"/>
              </w:rPr>
              <w:t>Перешедшая часть</w:t>
            </w:r>
            <w:r w:rsidDel="00000000" w:rsidR="00000000" w:rsidRPr="00000000">
              <w:rPr>
                <w:sz w:val="17"/>
                <w:rtl w:val="0"/>
              </w:rPr>
            </w:r>
          </w:p>
        </w:tc>
        <w:tc>
          <w:tcPr>
            <w:tcW w:type="dxa" w:w="5760"/>
            <w:tcMar>
              <w:top w:w="90" w:type="dxa"/>
              <w:left w:w="75.0" w:type="dxa"/>
              <w:bottom w:w="90" w:type="dxa"/>
              <w:right w:w="75.0" w:type="dxa"/>
              <w:start w:w="110" w:type="dxa"/>
              <w:end w:w="110" w:type="dxa"/>
            </w:tcMar>
            <w:vAlign w:val="center"/>
          </w:tcPr>
          <w:p w:rsidR="00000000" w:rsidDel="00000000" w:rsidP="00000000" w:rsidRDefault="00000000" w:rsidRPr="00000000" w14:paraId="0000009F">
            <w:pPr>
              <w:spacing w:after="0" w:line="240" w:lineRule="auto" w:before="0"/>
              <w:rPr/>
            </w:pPr>
            <w:r w:rsidDel="00000000" w:rsidR="00000000" w:rsidRPr="00000000">
              <w:rPr>
                <w:sz w:val="17"/>
                <w:szCs w:val="20"/>
                <w:rtl w:val="0"/>
              </w:rPr>
              <w:t>Часть пакета, право на которую уже стало окончательным по правилам программы.</w:t>
            </w:r>
            <w:r w:rsidDel="00000000" w:rsidR="00000000" w:rsidRPr="00000000">
              <w:rPr>
                <w:sz w:val="17"/>
                <w:rtl w:val="0"/>
              </w:rPr>
            </w:r>
          </w:p>
        </w:tc>
      </w:tr>
      <w:tr>
        <w:trPr>
          <w:cantSplit w:val="1"/>
          <w:tblHeader w:val="0"/>
        </w:trPr>
        <w:tc>
          <w:tcPr>
            <w:tcW w:type="dxa" w:w="3168"/>
            <w:tcMar>
              <w:top w:w="90" w:type="dxa"/>
              <w:left w:w="75.0" w:type="dxa"/>
              <w:bottom w:w="90" w:type="dxa"/>
              <w:right w:w="75.0" w:type="dxa"/>
              <w:start w:w="110" w:type="dxa"/>
              <w:end w:w="110" w:type="dxa"/>
            </w:tcMar>
            <w:vAlign w:val="center"/>
          </w:tcPr>
          <w:p w:rsidR="00000000" w:rsidDel="00000000" w:rsidP="00000000" w:rsidRDefault="00000000" w:rsidRPr="00000000" w14:paraId="000000A0">
            <w:pPr>
              <w:spacing w:after="0" w:line="240" w:lineRule="auto" w:before="0"/>
              <w:rPr/>
            </w:pPr>
            <w:r w:rsidDel="00000000" w:rsidR="00000000" w:rsidRPr="00000000">
              <w:rPr>
                <w:sz w:val="17"/>
                <w:szCs w:val="20"/>
                <w:rtl w:val="0"/>
              </w:rPr>
              <w:t>Не перешедшая часть</w:t>
            </w:r>
            <w:r w:rsidDel="00000000" w:rsidR="00000000" w:rsidRPr="00000000">
              <w:rPr>
                <w:sz w:val="17"/>
                <w:rtl w:val="0"/>
              </w:rPr>
            </w:r>
          </w:p>
        </w:tc>
        <w:tc>
          <w:tcPr>
            <w:tcW w:type="dxa" w:w="5760"/>
            <w:tcMar>
              <w:top w:w="90" w:type="dxa"/>
              <w:left w:w="75.0" w:type="dxa"/>
              <w:bottom w:w="90" w:type="dxa"/>
              <w:right w:w="75.0" w:type="dxa"/>
              <w:start w:w="110" w:type="dxa"/>
              <w:end w:w="110" w:type="dxa"/>
            </w:tcMar>
            <w:vAlign w:val="center"/>
          </w:tcPr>
          <w:p w:rsidR="00000000" w:rsidDel="00000000" w:rsidP="00000000" w:rsidRDefault="00000000" w:rsidRPr="00000000" w14:paraId="000000A1">
            <w:pPr>
              <w:spacing w:after="0" w:line="240" w:lineRule="auto" w:before="0"/>
              <w:rPr/>
            </w:pPr>
            <w:r w:rsidDel="00000000" w:rsidR="00000000" w:rsidRPr="00000000">
              <w:rPr>
                <w:sz w:val="17"/>
                <w:szCs w:val="20"/>
                <w:rtl w:val="0"/>
              </w:rPr>
              <w:t>Часть пакета, которая еще зависит от продолжения работы и других условий и может вернуться в общий резерв.</w:t>
            </w:r>
            <w:r w:rsidDel="00000000" w:rsidR="00000000" w:rsidRPr="00000000">
              <w:rPr>
                <w:sz w:val="17"/>
                <w:rtl w:val="0"/>
              </w:rPr>
            </w:r>
          </w:p>
        </w:tc>
      </w:tr>
      <w:tr>
        <w:trPr>
          <w:cantSplit w:val="1"/>
          <w:tblHeader w:val="0"/>
        </w:trPr>
        <w:tc>
          <w:tcPr>
            <w:tcW w:type="dxa" w:w="3168"/>
            <w:tcMar>
              <w:top w:w="90" w:type="dxa"/>
              <w:left w:w="75.0" w:type="dxa"/>
              <w:bottom w:w="90" w:type="dxa"/>
              <w:right w:w="75.0" w:type="dxa"/>
              <w:start w:w="110" w:type="dxa"/>
              <w:end w:w="110" w:type="dxa"/>
            </w:tcMar>
            <w:vAlign w:val="center"/>
          </w:tcPr>
          <w:p w:rsidR="00000000" w:rsidDel="00000000" w:rsidP="00000000" w:rsidRDefault="00000000" w:rsidRPr="00000000" w14:paraId="000000A2">
            <w:pPr>
              <w:spacing w:after="0" w:line="240" w:lineRule="auto" w:before="0"/>
              <w:rPr/>
            </w:pPr>
            <w:r w:rsidDel="00000000" w:rsidR="00000000" w:rsidRPr="00000000">
              <w:rPr>
                <w:sz w:val="17"/>
                <w:szCs w:val="20"/>
                <w:rtl w:val="0"/>
              </w:rPr>
              <w:t>Выплата, равная дивиденду</w:t>
            </w:r>
            <w:r w:rsidDel="00000000" w:rsidR="00000000" w:rsidRPr="00000000">
              <w:rPr>
                <w:sz w:val="17"/>
                <w:rtl w:val="0"/>
              </w:rPr>
            </w:r>
          </w:p>
        </w:tc>
        <w:tc>
          <w:tcPr>
            <w:tcW w:type="dxa" w:w="5760"/>
            <w:tcMar>
              <w:top w:w="90" w:type="dxa"/>
              <w:left w:w="75.0" w:type="dxa"/>
              <w:bottom w:w="90" w:type="dxa"/>
              <w:right w:w="75.0" w:type="dxa"/>
              <w:start w:w="110" w:type="dxa"/>
              <w:end w:w="110" w:type="dxa"/>
            </w:tcMar>
            <w:vAlign w:val="center"/>
          </w:tcPr>
          <w:p w:rsidR="00000000" w:rsidDel="00000000" w:rsidP="00000000" w:rsidRDefault="00000000" w:rsidRPr="00000000" w14:paraId="000000A3">
            <w:pPr>
              <w:spacing w:after="0" w:line="240" w:lineRule="auto" w:before="0"/>
              <w:rPr/>
            </w:pPr>
            <w:r w:rsidDel="00000000" w:rsidR="00000000" w:rsidRPr="00000000">
              <w:rPr>
                <w:sz w:val="17"/>
                <w:szCs w:val="20"/>
                <w:rtl w:val="0"/>
              </w:rPr>
              <w:t>Договорная выплата владельцу расчетных единиц, рассчитанная по аналогии с дивидендом на перешедшую часть. Юридически это не дивиденд.</w:t>
            </w:r>
            <w:r w:rsidDel="00000000" w:rsidR="00000000" w:rsidRPr="00000000">
              <w:rPr>
                <w:sz w:val="17"/>
                <w:rtl w:val="0"/>
              </w:rPr>
            </w:r>
          </w:p>
        </w:tc>
      </w:tr>
      <w:tr>
        <w:trPr>
          <w:cantSplit w:val="1"/>
          <w:tblHeader w:val="0"/>
        </w:trPr>
        <w:tc>
          <w:tcPr>
            <w:tcW w:type="dxa" w:w="3168"/>
            <w:tcMar>
              <w:top w:w="90" w:type="dxa"/>
              <w:left w:w="75.0" w:type="dxa"/>
              <w:bottom w:w="90" w:type="dxa"/>
              <w:right w:w="75.0" w:type="dxa"/>
              <w:start w:w="110" w:type="dxa"/>
              <w:end w:w="110" w:type="dxa"/>
            </w:tcMar>
            <w:vAlign w:val="center"/>
          </w:tcPr>
          <w:p w:rsidR="00000000" w:rsidDel="00000000" w:rsidP="00000000" w:rsidRDefault="00000000" w:rsidRPr="00000000" w14:paraId="000000A4">
            <w:pPr>
              <w:spacing w:after="0" w:line="240" w:lineRule="auto" w:before="0"/>
              <w:rPr/>
            </w:pPr>
            <w:r w:rsidDel="00000000" w:rsidR="00000000" w:rsidRPr="00000000">
              <w:rPr>
                <w:sz w:val="17"/>
                <w:szCs w:val="20"/>
                <w:rtl w:val="0"/>
              </w:rPr>
              <w:t>Оценка до нового вложения</w:t>
            </w:r>
            <w:r w:rsidDel="00000000" w:rsidR="00000000" w:rsidRPr="00000000">
              <w:rPr>
                <w:sz w:val="17"/>
                <w:rtl w:val="0"/>
              </w:rPr>
            </w:r>
          </w:p>
        </w:tc>
        <w:tc>
          <w:tcPr>
            <w:tcW w:type="dxa" w:w="5760"/>
            <w:tcMar>
              <w:top w:w="90" w:type="dxa"/>
              <w:left w:w="75.0" w:type="dxa"/>
              <w:bottom w:w="90" w:type="dxa"/>
              <w:right w:w="75.0" w:type="dxa"/>
              <w:start w:w="110" w:type="dxa"/>
              <w:end w:w="110" w:type="dxa"/>
            </w:tcMar>
            <w:vAlign w:val="center"/>
          </w:tcPr>
          <w:p w:rsidR="00000000" w:rsidDel="00000000" w:rsidP="00000000" w:rsidRDefault="00000000" w:rsidRPr="00000000" w14:paraId="000000A5">
            <w:pPr>
              <w:spacing w:after="0" w:line="240" w:lineRule="auto" w:before="0"/>
              <w:rPr/>
            </w:pPr>
            <w:r w:rsidDel="00000000" w:rsidR="00000000" w:rsidRPr="00000000">
              <w:rPr>
                <w:sz w:val="17"/>
                <w:szCs w:val="20"/>
                <w:rtl w:val="0"/>
              </w:rPr>
              <w:t>Стоимость капитала компании непосредственно перед тем, как новый инвестор внес деньги.</w:t>
            </w:r>
            <w:r w:rsidDel="00000000" w:rsidR="00000000" w:rsidRPr="00000000">
              <w:rPr>
                <w:sz w:val="17"/>
                <w:rtl w:val="0"/>
              </w:rPr>
            </w:r>
          </w:p>
        </w:tc>
      </w:tr>
      <w:tr>
        <w:trPr>
          <w:cantSplit w:val="1"/>
          <w:tblHeader w:val="0"/>
        </w:trPr>
        <w:tc>
          <w:tcPr>
            <w:tcW w:type="dxa" w:w="3168"/>
            <w:tcMar>
              <w:top w:w="90" w:type="dxa"/>
              <w:left w:w="75.0" w:type="dxa"/>
              <w:bottom w:w="90" w:type="dxa"/>
              <w:right w:w="75.0" w:type="dxa"/>
              <w:start w:w="110" w:type="dxa"/>
              <w:end w:w="110" w:type="dxa"/>
            </w:tcMar>
            <w:vAlign w:val="center"/>
          </w:tcPr>
          <w:p w:rsidR="00000000" w:rsidDel="00000000" w:rsidP="00000000" w:rsidRDefault="00000000" w:rsidRPr="00000000" w14:paraId="000000A6">
            <w:pPr>
              <w:spacing w:after="0" w:line="240" w:lineRule="auto" w:before="0"/>
              <w:rPr/>
            </w:pPr>
            <w:r w:rsidDel="00000000" w:rsidR="00000000" w:rsidRPr="00000000">
              <w:rPr>
                <w:sz w:val="17"/>
                <w:szCs w:val="20"/>
                <w:rtl w:val="0"/>
              </w:rPr>
              <w:t>Оценка после нового вложения</w:t>
            </w:r>
            <w:r w:rsidDel="00000000" w:rsidR="00000000" w:rsidRPr="00000000">
              <w:rPr>
                <w:sz w:val="17"/>
                <w:rtl w:val="0"/>
              </w:rPr>
            </w:r>
          </w:p>
        </w:tc>
        <w:tc>
          <w:tcPr>
            <w:tcW w:type="dxa" w:w="5760"/>
            <w:tcMar>
              <w:top w:w="90" w:type="dxa"/>
              <w:left w:w="75.0" w:type="dxa"/>
              <w:bottom w:w="90" w:type="dxa"/>
              <w:right w:w="75.0" w:type="dxa"/>
              <w:start w:w="110" w:type="dxa"/>
              <w:end w:w="110" w:type="dxa"/>
            </w:tcMar>
            <w:vAlign w:val="center"/>
          </w:tcPr>
          <w:p w:rsidR="00000000" w:rsidDel="00000000" w:rsidP="00000000" w:rsidRDefault="00000000" w:rsidRPr="00000000" w14:paraId="000000A7">
            <w:pPr>
              <w:spacing w:after="0" w:line="240" w:lineRule="auto" w:before="0"/>
              <w:rPr/>
            </w:pPr>
            <w:r w:rsidDel="00000000" w:rsidR="00000000" w:rsidRPr="00000000">
              <w:rPr>
                <w:sz w:val="17"/>
                <w:szCs w:val="20"/>
                <w:rtl w:val="0"/>
              </w:rPr>
              <w:t>Стоимость капитала сразу после вложения: оценка до вложения плюс поступившие в компанию деньги.</w:t>
            </w:r>
            <w:r w:rsidDel="00000000" w:rsidR="00000000" w:rsidRPr="00000000">
              <w:rPr>
                <w:sz w:val="17"/>
                <w:rtl w:val="0"/>
              </w:rPr>
            </w:r>
          </w:p>
        </w:tc>
      </w:tr>
      <w:tr>
        <w:trPr>
          <w:cantSplit w:val="1"/>
          <w:tblHeader w:val="0"/>
        </w:trPr>
        <w:tc>
          <w:tcPr>
            <w:tcW w:type="dxa" w:w="3168"/>
            <w:tcMar>
              <w:top w:w="90" w:type="dxa"/>
              <w:left w:w="75.0" w:type="dxa"/>
              <w:bottom w:w="90" w:type="dxa"/>
              <w:right w:w="75.0" w:type="dxa"/>
              <w:start w:w="110" w:type="dxa"/>
              <w:end w:w="110" w:type="dxa"/>
            </w:tcMar>
            <w:vAlign w:val="center"/>
          </w:tcPr>
          <w:p w:rsidR="00000000" w:rsidDel="00000000" w:rsidP="00000000" w:rsidRDefault="00000000" w:rsidRPr="00000000" w14:paraId="000000A8">
            <w:pPr>
              <w:spacing w:after="0" w:line="240" w:lineRule="auto" w:before="0"/>
              <w:rPr/>
            </w:pPr>
            <w:r w:rsidDel="00000000" w:rsidR="00000000" w:rsidRPr="00000000">
              <w:rPr>
                <w:sz w:val="17"/>
                <w:szCs w:val="20"/>
                <w:rtl w:val="0"/>
              </w:rPr>
              <w:t>Привлечение инвестиций</w:t>
            </w:r>
            <w:r w:rsidDel="00000000" w:rsidR="00000000" w:rsidRPr="00000000">
              <w:rPr>
                <w:sz w:val="17"/>
                <w:rtl w:val="0"/>
              </w:rPr>
            </w:r>
          </w:p>
        </w:tc>
        <w:tc>
          <w:tcPr>
            <w:tcW w:type="dxa" w:w="5760"/>
            <w:tcMar>
              <w:top w:w="90" w:type="dxa"/>
              <w:left w:w="75.0" w:type="dxa"/>
              <w:bottom w:w="90" w:type="dxa"/>
              <w:right w:w="75.0" w:type="dxa"/>
              <w:start w:w="110" w:type="dxa"/>
              <w:end w:w="110" w:type="dxa"/>
            </w:tcMar>
            <w:vAlign w:val="center"/>
          </w:tcPr>
          <w:p w:rsidR="00000000" w:rsidDel="00000000" w:rsidP="00000000" w:rsidRDefault="00000000" w:rsidRPr="00000000" w14:paraId="000000A9">
            <w:pPr>
              <w:spacing w:after="0" w:line="240" w:lineRule="auto" w:before="0"/>
              <w:rPr/>
            </w:pPr>
            <w:r w:rsidDel="00000000" w:rsidR="00000000" w:rsidRPr="00000000">
              <w:rPr>
                <w:sz w:val="17"/>
                <w:szCs w:val="20"/>
                <w:rtl w:val="0"/>
              </w:rPr>
              <w:t>Вложение новых денег в компанию в обмен на вновь выпущенные доли или акции.</w:t>
            </w:r>
            <w:r w:rsidDel="00000000" w:rsidR="00000000" w:rsidRPr="00000000">
              <w:rPr>
                <w:sz w:val="17"/>
                <w:rtl w:val="0"/>
              </w:rPr>
            </w:r>
          </w:p>
        </w:tc>
      </w:tr>
      <w:tr>
        <w:trPr>
          <w:cantSplit w:val="1"/>
          <w:tblHeader w:val="0"/>
        </w:trPr>
        <w:tc>
          <w:tcPr>
            <w:tcW w:type="dxa" w:w="3168"/>
            <w:tcMar>
              <w:top w:w="90" w:type="dxa"/>
              <w:left w:w="75.0" w:type="dxa"/>
              <w:bottom w:w="90" w:type="dxa"/>
              <w:right w:w="75.0" w:type="dxa"/>
              <w:start w:w="110" w:type="dxa"/>
              <w:end w:w="110" w:type="dxa"/>
            </w:tcMar>
            <w:vAlign w:val="center"/>
          </w:tcPr>
          <w:p w:rsidR="00000000" w:rsidDel="00000000" w:rsidP="00000000" w:rsidRDefault="00000000" w:rsidRPr="00000000" w14:paraId="000000AA">
            <w:pPr>
              <w:spacing w:after="0" w:line="240" w:lineRule="auto" w:before="0"/>
              <w:rPr/>
            </w:pPr>
            <w:r w:rsidDel="00000000" w:rsidR="00000000" w:rsidRPr="00000000">
              <w:rPr>
                <w:sz w:val="17"/>
                <w:szCs w:val="20"/>
                <w:rtl w:val="0"/>
              </w:rPr>
              <w:t>Сделка между владельцами</w:t>
            </w:r>
            <w:r w:rsidDel="00000000" w:rsidR="00000000" w:rsidRPr="00000000">
              <w:rPr>
                <w:sz w:val="17"/>
                <w:rtl w:val="0"/>
              </w:rPr>
            </w:r>
          </w:p>
        </w:tc>
        <w:tc>
          <w:tcPr>
            <w:tcW w:type="dxa" w:w="5760"/>
            <w:tcMar>
              <w:top w:w="90" w:type="dxa"/>
              <w:left w:w="75.0" w:type="dxa"/>
              <w:bottom w:w="90" w:type="dxa"/>
              <w:right w:w="75.0" w:type="dxa"/>
              <w:start w:w="110" w:type="dxa"/>
              <w:end w:w="110" w:type="dxa"/>
            </w:tcMar>
            <w:vAlign w:val="center"/>
          </w:tcPr>
          <w:p w:rsidR="00000000" w:rsidDel="00000000" w:rsidP="00000000" w:rsidRDefault="00000000" w:rsidRPr="00000000" w14:paraId="000000AB">
            <w:pPr>
              <w:spacing w:after="0" w:line="240" w:lineRule="auto" w:before="0"/>
              <w:rPr/>
            </w:pPr>
            <w:r w:rsidDel="00000000" w:rsidR="00000000" w:rsidRPr="00000000">
              <w:rPr>
                <w:sz w:val="17"/>
                <w:szCs w:val="20"/>
                <w:rtl w:val="0"/>
              </w:rPr>
              <w:t>Покупка существующих долей или акций у их владельцев. Деньги получает продавец, а не компания.</w:t>
            </w:r>
            <w:r w:rsidDel="00000000" w:rsidR="00000000" w:rsidRPr="00000000">
              <w:rPr>
                <w:sz w:val="17"/>
                <w:rtl w:val="0"/>
              </w:rPr>
            </w:r>
          </w:p>
        </w:tc>
      </w:tr>
      <w:tr>
        <w:trPr>
          <w:cantSplit w:val="1"/>
          <w:tblHeader w:val="0"/>
        </w:trPr>
        <w:tc>
          <w:tcPr>
            <w:tcW w:type="dxa" w:w="3168"/>
            <w:tcMar>
              <w:top w:w="90" w:type="dxa"/>
              <w:left w:w="75.0" w:type="dxa"/>
              <w:bottom w:w="90" w:type="dxa"/>
              <w:right w:w="75.0" w:type="dxa"/>
              <w:start w:w="110" w:type="dxa"/>
              <w:end w:w="110" w:type="dxa"/>
            </w:tcMar>
            <w:vAlign w:val="center"/>
          </w:tcPr>
          <w:p w:rsidR="00000000" w:rsidDel="00000000" w:rsidP="00000000" w:rsidRDefault="00000000" w:rsidRPr="00000000" w14:paraId="000000AC">
            <w:pPr>
              <w:spacing w:after="0" w:line="240" w:lineRule="auto" w:before="0"/>
              <w:rPr/>
            </w:pPr>
            <w:r w:rsidDel="00000000" w:rsidR="00000000" w:rsidRPr="00000000">
              <w:rPr>
                <w:sz w:val="17"/>
                <w:szCs w:val="20"/>
                <w:rtl w:val="0"/>
              </w:rPr>
              <w:t>Уменьшение процентной доли (размывание)</w:t>
            </w:r>
            <w:r w:rsidDel="00000000" w:rsidR="00000000" w:rsidRPr="00000000">
              <w:rPr>
                <w:sz w:val="17"/>
                <w:rtl w:val="0"/>
              </w:rPr>
            </w:r>
          </w:p>
        </w:tc>
        <w:tc>
          <w:tcPr>
            <w:tcW w:type="dxa" w:w="5760"/>
            <w:tcMar>
              <w:top w:w="90" w:type="dxa"/>
              <w:left w:w="75.0" w:type="dxa"/>
              <w:bottom w:w="90" w:type="dxa"/>
              <w:right w:w="75.0" w:type="dxa"/>
              <w:start w:w="110" w:type="dxa"/>
              <w:end w:w="110" w:type="dxa"/>
            </w:tcMar>
            <w:vAlign w:val="center"/>
          </w:tcPr>
          <w:p w:rsidR="00000000" w:rsidDel="00000000" w:rsidP="00000000" w:rsidRDefault="00000000" w:rsidRPr="00000000" w14:paraId="000000AD">
            <w:pPr>
              <w:spacing w:after="0" w:line="240" w:lineRule="auto" w:before="0"/>
              <w:rPr/>
            </w:pPr>
            <w:r w:rsidDel="00000000" w:rsidR="00000000" w:rsidRPr="00000000">
              <w:rPr>
                <w:sz w:val="17"/>
                <w:szCs w:val="20"/>
                <w:rtl w:val="0"/>
              </w:rPr>
              <w:t>Снижение процента владения из-за выпуска новых долей, акций или иных прав, даже если число уже принадлежащих единиц не изменилось.</w:t>
            </w:r>
            <w:r w:rsidDel="00000000" w:rsidR="00000000" w:rsidRPr="00000000">
              <w:rPr>
                <w:sz w:val="17"/>
                <w:rtl w:val="0"/>
              </w:rPr>
            </w:r>
          </w:p>
        </w:tc>
      </w:tr>
      <w:tr>
        <w:trPr>
          <w:cantSplit w:val="1"/>
          <w:tblHeader w:val="0"/>
        </w:trPr>
        <w:tc>
          <w:tcPr>
            <w:tcW w:type="dxa" w:w="3168"/>
            <w:tcMar>
              <w:top w:w="90" w:type="dxa"/>
              <w:left w:w="75.0" w:type="dxa"/>
              <w:bottom w:w="90" w:type="dxa"/>
              <w:right w:w="75.0" w:type="dxa"/>
              <w:start w:w="110" w:type="dxa"/>
              <w:end w:w="110" w:type="dxa"/>
            </w:tcMar>
            <w:vAlign w:val="center"/>
          </w:tcPr>
          <w:p w:rsidR="00000000" w:rsidDel="00000000" w:rsidP="00000000" w:rsidRDefault="00000000" w:rsidRPr="00000000" w14:paraId="000000AE">
            <w:pPr>
              <w:spacing w:after="0" w:line="240" w:lineRule="auto" w:before="0"/>
              <w:rPr/>
            </w:pPr>
            <w:r w:rsidDel="00000000" w:rsidR="00000000" w:rsidRPr="00000000">
              <w:rPr>
                <w:sz w:val="17"/>
                <w:szCs w:val="20"/>
                <w:rtl w:val="0"/>
              </w:rPr>
              <w:t>Событие, позволяющее получить деньги (событие ликвидности)</w:t>
            </w:r>
            <w:r w:rsidDel="00000000" w:rsidR="00000000" w:rsidRPr="00000000">
              <w:rPr>
                <w:sz w:val="17"/>
                <w:rtl w:val="0"/>
              </w:rPr>
            </w:r>
          </w:p>
        </w:tc>
        <w:tc>
          <w:tcPr>
            <w:tcW w:type="dxa" w:w="5760"/>
            <w:tcMar>
              <w:top w:w="90" w:type="dxa"/>
              <w:left w:w="75.0" w:type="dxa"/>
              <w:bottom w:w="90" w:type="dxa"/>
              <w:right w:w="75.0" w:type="dxa"/>
              <w:start w:w="110" w:type="dxa"/>
              <w:end w:w="110" w:type="dxa"/>
            </w:tcMar>
            <w:vAlign w:val="center"/>
          </w:tcPr>
          <w:p w:rsidR="00000000" w:rsidDel="00000000" w:rsidP="00000000" w:rsidRDefault="00000000" w:rsidRPr="00000000" w14:paraId="000000AF">
            <w:pPr>
              <w:spacing w:after="0" w:line="240" w:lineRule="auto" w:before="0"/>
              <w:rPr/>
            </w:pPr>
            <w:r w:rsidDel="00000000" w:rsidR="00000000" w:rsidRPr="00000000">
              <w:rPr>
                <w:sz w:val="17"/>
                <w:szCs w:val="20"/>
                <w:rtl w:val="0"/>
              </w:rPr>
              <w:t>Продажа компании, размещение акций на бирже или иная сделка, после которой владельцы могут получить деньги за свои права.</w:t>
            </w:r>
            <w:r w:rsidDel="00000000" w:rsidR="00000000" w:rsidRPr="00000000">
              <w:rPr>
                <w:sz w:val="17"/>
                <w:rtl w:val="0"/>
              </w:rPr>
            </w:r>
          </w:p>
        </w:tc>
      </w:tr>
      <w:tr>
        <w:trPr>
          <w:cantSplit w:val="1"/>
          <w:tblHeader w:val="0"/>
        </w:trPr>
        <w:tc>
          <w:tcPr>
            <w:tcW w:type="dxa" w:w="3168"/>
            <w:tcMar>
              <w:top w:w="90" w:type="dxa"/>
              <w:left w:w="75.0" w:type="dxa"/>
              <w:bottom w:w="90" w:type="dxa"/>
              <w:right w:w="75.0" w:type="dxa"/>
              <w:start w:w="110" w:type="dxa"/>
              <w:end w:w="110" w:type="dxa"/>
            </w:tcMar>
            <w:vAlign w:val="center"/>
          </w:tcPr>
          <w:p w:rsidR="00000000" w:rsidDel="00000000" w:rsidP="00000000" w:rsidRDefault="00000000" w:rsidRPr="00000000" w14:paraId="000000B0">
            <w:pPr>
              <w:spacing w:after="0" w:line="240" w:lineRule="auto" w:before="0"/>
              <w:rPr/>
            </w:pPr>
            <w:r w:rsidDel="00000000" w:rsidR="00000000" w:rsidRPr="00000000">
              <w:rPr>
                <w:sz w:val="17"/>
                <w:szCs w:val="20"/>
                <w:rtl w:val="0"/>
              </w:rPr>
              <w:t>Порядок распределения денег</w:t>
            </w:r>
            <w:r w:rsidDel="00000000" w:rsidR="00000000" w:rsidRPr="00000000">
              <w:rPr>
                <w:sz w:val="17"/>
                <w:rtl w:val="0"/>
              </w:rPr>
            </w:r>
          </w:p>
        </w:tc>
        <w:tc>
          <w:tcPr>
            <w:tcW w:type="dxa" w:w="5760"/>
            <w:tcMar>
              <w:top w:w="90" w:type="dxa"/>
              <w:left w:w="75.0" w:type="dxa"/>
              <w:bottom w:w="90" w:type="dxa"/>
              <w:right w:w="75.0" w:type="dxa"/>
              <w:start w:w="110" w:type="dxa"/>
              <w:end w:w="110" w:type="dxa"/>
            </w:tcMar>
            <w:vAlign w:val="center"/>
          </w:tcPr>
          <w:p w:rsidR="00000000" w:rsidDel="00000000" w:rsidP="00000000" w:rsidRDefault="00000000" w:rsidRPr="00000000" w14:paraId="000000B1">
            <w:pPr>
              <w:spacing w:after="0" w:line="240" w:lineRule="auto" w:before="0"/>
              <w:rPr/>
            </w:pPr>
            <w:r w:rsidDel="00000000" w:rsidR="00000000" w:rsidRPr="00000000">
              <w:rPr>
                <w:sz w:val="17"/>
                <w:szCs w:val="20"/>
                <w:rtl w:val="0"/>
              </w:rPr>
              <w:t>Очередность, по которой деньги от продажи направляются на долг, расходы, особые права инвесторов и затем на обыкновенные акции.</w:t>
            </w:r>
            <w:r w:rsidDel="00000000" w:rsidR="00000000" w:rsidRPr="00000000">
              <w:rPr>
                <w:sz w:val="17"/>
                <w:rtl w:val="0"/>
              </w:rPr>
            </w:r>
          </w:p>
        </w:tc>
      </w:tr>
      <w:tr>
        <w:trPr>
          <w:cantSplit w:val="1"/>
          <w:tblHeader w:val="0"/>
        </w:trPr>
        <w:tc>
          <w:tcPr>
            <w:tcW w:type="dxa" w:w="3168"/>
            <w:tcMar>
              <w:top w:w="90" w:type="dxa"/>
              <w:left w:w="75.0" w:type="dxa"/>
              <w:bottom w:w="90" w:type="dxa"/>
              <w:right w:w="75.0" w:type="dxa"/>
              <w:start w:w="110" w:type="dxa"/>
              <w:end w:w="110" w:type="dxa"/>
            </w:tcMar>
            <w:vAlign w:val="center"/>
          </w:tcPr>
          <w:p w:rsidR="00000000" w:rsidDel="00000000" w:rsidP="00000000" w:rsidRDefault="00000000" w:rsidRPr="00000000" w14:paraId="000000B2">
            <w:pPr>
              <w:spacing w:after="0" w:line="240" w:lineRule="auto" w:before="0"/>
              <w:rPr/>
            </w:pPr>
            <w:r w:rsidDel="00000000" w:rsidR="00000000" w:rsidRPr="00000000">
              <w:rPr>
                <w:sz w:val="17"/>
                <w:szCs w:val="20"/>
                <w:rtl w:val="0"/>
              </w:rPr>
              <w:t>Добросовестный уход</w:t>
            </w:r>
            <w:r w:rsidDel="00000000" w:rsidR="00000000" w:rsidRPr="00000000">
              <w:rPr>
                <w:sz w:val="17"/>
                <w:rtl w:val="0"/>
              </w:rPr>
            </w:r>
          </w:p>
        </w:tc>
        <w:tc>
          <w:tcPr>
            <w:tcW w:type="dxa" w:w="5760"/>
            <w:tcMar>
              <w:top w:w="90" w:type="dxa"/>
              <w:left w:w="75.0" w:type="dxa"/>
              <w:bottom w:w="90" w:type="dxa"/>
              <w:right w:w="75.0" w:type="dxa"/>
              <w:start w:w="110" w:type="dxa"/>
              <w:end w:w="110" w:type="dxa"/>
            </w:tcMar>
            <w:vAlign w:val="center"/>
          </w:tcPr>
          <w:p w:rsidR="00000000" w:rsidDel="00000000" w:rsidP="00000000" w:rsidRDefault="00000000" w:rsidRPr="00000000" w14:paraId="000000B3">
            <w:pPr>
              <w:spacing w:after="0" w:line="240" w:lineRule="auto" w:before="0"/>
              <w:rPr/>
            </w:pPr>
            <w:r w:rsidDel="00000000" w:rsidR="00000000" w:rsidRPr="00000000">
              <w:rPr>
                <w:sz w:val="17"/>
                <w:szCs w:val="20"/>
                <w:rtl w:val="0"/>
              </w:rPr>
              <w:t>Уход по причине, не связанной с существенным нарушением обязанностей; перешедшая часть обычно сохраняется.</w:t>
            </w:r>
            <w:r w:rsidDel="00000000" w:rsidR="00000000" w:rsidRPr="00000000">
              <w:rPr>
                <w:sz w:val="17"/>
                <w:rtl w:val="0"/>
              </w:rPr>
            </w:r>
          </w:p>
        </w:tc>
      </w:tr>
      <w:tr>
        <w:trPr>
          <w:cantSplit w:val="1"/>
          <w:tblHeader w:val="0"/>
        </w:trPr>
        <w:tc>
          <w:tcPr>
            <w:tcW w:type="dxa" w:w="3168"/>
            <w:tcMar>
              <w:top w:w="90" w:type="dxa"/>
              <w:left w:w="75.0" w:type="dxa"/>
              <w:bottom w:w="90" w:type="dxa"/>
              <w:right w:w="75.0" w:type="dxa"/>
              <w:start w:w="110" w:type="dxa"/>
              <w:end w:w="110" w:type="dxa"/>
            </w:tcMar>
            <w:vAlign w:val="center"/>
          </w:tcPr>
          <w:p w:rsidR="00000000" w:rsidDel="00000000" w:rsidP="00000000" w:rsidRDefault="00000000" w:rsidRPr="00000000" w14:paraId="000000B4">
            <w:pPr>
              <w:spacing w:after="0" w:line="240" w:lineRule="auto" w:before="0"/>
              <w:rPr/>
            </w:pPr>
            <w:r w:rsidDel="00000000" w:rsidR="00000000" w:rsidRPr="00000000">
              <w:rPr>
                <w:sz w:val="17"/>
                <w:szCs w:val="20"/>
                <w:rtl w:val="0"/>
              </w:rPr>
              <w:t>Недобросовестный уход</w:t>
            </w:r>
            <w:r w:rsidDel="00000000" w:rsidR="00000000" w:rsidRPr="00000000">
              <w:rPr>
                <w:sz w:val="17"/>
                <w:rtl w:val="0"/>
              </w:rPr>
            </w:r>
          </w:p>
        </w:tc>
        <w:tc>
          <w:tcPr>
            <w:tcW w:type="dxa" w:w="5760"/>
            <w:tcMar>
              <w:top w:w="90" w:type="dxa"/>
              <w:left w:w="75.0" w:type="dxa"/>
              <w:bottom w:w="90" w:type="dxa"/>
              <w:right w:w="75.0" w:type="dxa"/>
              <w:start w:w="110" w:type="dxa"/>
              <w:end w:w="110" w:type="dxa"/>
            </w:tcMar>
            <w:vAlign w:val="center"/>
          </w:tcPr>
          <w:p w:rsidR="00000000" w:rsidDel="00000000" w:rsidP="00000000" w:rsidRDefault="00000000" w:rsidRPr="00000000" w14:paraId="000000B5">
            <w:pPr>
              <w:spacing w:after="0" w:line="240" w:lineRule="auto" w:before="0"/>
              <w:rPr/>
            </w:pPr>
            <w:r w:rsidDel="00000000" w:rsidR="00000000" w:rsidRPr="00000000">
              <w:rPr>
                <w:sz w:val="17"/>
                <w:szCs w:val="20"/>
                <w:rtl w:val="0"/>
              </w:rPr>
              <w:t>Уход из-за заранее определенного и документально подтвержденного серьезного нарушения. Последствия должны быть прямо записаны в правилах.</w:t>
            </w:r>
            <w:r w:rsidDel="00000000" w:rsidR="00000000" w:rsidRPr="00000000">
              <w:rPr>
                <w:sz w:val="17"/>
                <w:rtl w:val="0"/>
              </w:rPr>
            </w:r>
          </w:p>
        </w:tc>
      </w:tr>
      <w:tr>
        <w:trPr>
          <w:cantSplit w:val="1"/>
          <w:tblHeader w:val="0"/>
        </w:trPr>
        <w:tc>
          <w:tcPr>
            <w:tcW w:type="dxa" w:w="3168"/>
            <w:tcMar>
              <w:top w:w="90" w:type="dxa"/>
              <w:left w:w="75.0" w:type="dxa"/>
              <w:bottom w:w="90" w:type="dxa"/>
              <w:right w:w="75.0" w:type="dxa"/>
              <w:start w:w="110" w:type="dxa"/>
              <w:end w:w="110" w:type="dxa"/>
            </w:tcMar>
            <w:vAlign w:val="center"/>
          </w:tcPr>
          <w:p w:rsidR="00000000" w:rsidDel="00000000" w:rsidP="00000000" w:rsidRDefault="00000000" w:rsidRPr="00000000" w14:paraId="000000B6">
            <w:pPr>
              <w:spacing w:after="0" w:line="240" w:lineRule="auto" w:before="0"/>
              <w:rPr/>
            </w:pPr>
            <w:r w:rsidDel="00000000" w:rsidR="00000000" w:rsidRPr="00000000">
              <w:rPr>
                <w:sz w:val="17"/>
                <w:szCs w:val="20"/>
                <w:rtl w:val="0"/>
              </w:rPr>
              <w:t>Свободный остаток</w:t>
            </w:r>
            <w:r w:rsidDel="00000000" w:rsidR="00000000" w:rsidRPr="00000000">
              <w:rPr>
                <w:sz w:val="17"/>
                <w:rtl w:val="0"/>
              </w:rPr>
            </w:r>
          </w:p>
        </w:tc>
        <w:tc>
          <w:tcPr>
            <w:tcW w:type="dxa" w:w="5760"/>
            <w:tcMar>
              <w:top w:w="90" w:type="dxa"/>
              <w:left w:w="75.0" w:type="dxa"/>
              <w:bottom w:w="90" w:type="dxa"/>
              <w:right w:w="75.0" w:type="dxa"/>
              <w:start w:w="110" w:type="dxa"/>
              <w:end w:w="110" w:type="dxa"/>
            </w:tcMar>
            <w:vAlign w:val="center"/>
          </w:tcPr>
          <w:p w:rsidR="00000000" w:rsidDel="00000000" w:rsidP="00000000" w:rsidRDefault="00000000" w:rsidRPr="00000000" w14:paraId="000000B7">
            <w:pPr>
              <w:spacing w:after="0" w:line="240" w:lineRule="auto" w:before="0"/>
              <w:rPr/>
            </w:pPr>
            <w:r w:rsidDel="00000000" w:rsidR="00000000" w:rsidRPr="00000000">
              <w:rPr>
                <w:sz w:val="17"/>
                <w:szCs w:val="20"/>
                <w:rtl w:val="0"/>
              </w:rPr>
              <w:t>Единицы общего резерва, которые еще не закреплены за действующими индивидуальными пакетами и могут быть выданы без превышения предела.</w:t>
            </w:r>
            <w:r w:rsidDel="00000000" w:rsidR="00000000" w:rsidRPr="00000000">
              <w:rPr>
                <w:sz w:val="17"/>
                <w:rtl w:val="0"/>
              </w:rPr>
            </w:r>
          </w:p>
        </w:tc>
      </w:tr>
      <w:tr>
        <w:trPr>
          <w:cantSplit w:val="1"/>
          <w:tblHeader w:val="0"/>
        </w:trPr>
        <w:tc>
          <w:tcPr>
            <w:tcW w:type="dxa" w:w="3168"/>
            <w:tcMar>
              <w:top w:w="90" w:type="dxa"/>
              <w:left w:w="75.0" w:type="dxa"/>
              <w:bottom w:w="90" w:type="dxa"/>
              <w:right w:w="75.0" w:type="dxa"/>
              <w:start w:w="110" w:type="dxa"/>
              <w:end w:w="110" w:type="dxa"/>
            </w:tcMar>
            <w:vAlign w:val="center"/>
          </w:tcPr>
          <w:p w:rsidR="00000000" w:rsidDel="00000000" w:rsidP="00000000" w:rsidRDefault="00000000" w:rsidRPr="00000000" w14:paraId="000000B8">
            <w:pPr>
              <w:spacing w:after="0" w:line="240" w:lineRule="auto" w:before="0"/>
              <w:rPr/>
            </w:pPr>
            <w:r w:rsidDel="00000000" w:rsidR="00000000" w:rsidRPr="00000000">
              <w:rPr>
                <w:sz w:val="17"/>
                <w:szCs w:val="20"/>
                <w:rtl w:val="0"/>
              </w:rPr>
              <w:t>Реестр программы</w:t>
            </w:r>
            <w:r w:rsidDel="00000000" w:rsidR="00000000" w:rsidRPr="00000000">
              <w:rPr>
                <w:sz w:val="17"/>
                <w:rtl w:val="0"/>
              </w:rPr>
            </w:r>
          </w:p>
        </w:tc>
        <w:tc>
          <w:tcPr>
            <w:tcW w:type="dxa" w:w="5760"/>
            <w:tcMar>
              <w:top w:w="90" w:type="dxa"/>
              <w:left w:w="75.0" w:type="dxa"/>
              <w:bottom w:w="90" w:type="dxa"/>
              <w:right w:w="75.0" w:type="dxa"/>
              <w:start w:w="110" w:type="dxa"/>
              <w:end w:w="110" w:type="dxa"/>
            </w:tcMar>
            <w:vAlign w:val="center"/>
          </w:tcPr>
          <w:p w:rsidR="00000000" w:rsidDel="00000000" w:rsidP="00000000" w:rsidRDefault="00000000" w:rsidRPr="00000000" w14:paraId="000000B9">
            <w:pPr>
              <w:spacing w:after="0" w:line="240" w:lineRule="auto" w:before="0"/>
              <w:rPr/>
            </w:pPr>
            <w:r w:rsidDel="00000000" w:rsidR="00000000" w:rsidRPr="00000000">
              <w:rPr>
                <w:sz w:val="17"/>
                <w:szCs w:val="20"/>
                <w:rtl w:val="0"/>
              </w:rPr>
              <w:t>Единый учет всех созданных, выданных, перешедших, не перешедших, возвращенных и свободных единиц.</w:t>
            </w:r>
            <w:r w:rsidDel="00000000" w:rsidR="00000000" w:rsidRPr="00000000">
              <w:rPr>
                <w:sz w:val="17"/>
                <w:rtl w:val="0"/>
              </w:rPr>
            </w:r>
          </w:p>
        </w:tc>
      </w:tr>
      <w:tr>
        <w:trPr>
          <w:cantSplit w:val="1"/>
          <w:tblHeader w:val="0"/>
        </w:trPr>
        <w:tc>
          <w:tcPr>
            <w:tcW w:type="dxa" w:w="3168"/>
            <w:tcMar>
              <w:top w:w="90" w:type="dxa"/>
              <w:left w:w="75.0" w:type="dxa"/>
              <w:bottom w:w="90" w:type="dxa"/>
              <w:right w:w="75.0" w:type="dxa"/>
              <w:start w:w="110" w:type="dxa"/>
              <w:end w:w="110" w:type="dxa"/>
            </w:tcMar>
            <w:vAlign w:val="center"/>
          </w:tcPr>
          <w:p w:rsidR="00000000" w:rsidDel="00000000" w:rsidP="00000000" w:rsidRDefault="00000000" w:rsidRPr="00000000" w14:paraId="000000BA">
            <w:pPr>
              <w:spacing w:after="0" w:line="240" w:lineRule="auto" w:before="0"/>
              <w:rPr/>
            </w:pPr>
            <w:r w:rsidDel="00000000" w:rsidR="00000000" w:rsidRPr="00000000">
              <w:rPr>
                <w:sz w:val="17"/>
                <w:szCs w:val="20"/>
                <w:rtl w:val="0"/>
              </w:rPr>
              <w:t>Ускорение по двойному условию</w:t>
            </w:r>
            <w:r w:rsidDel="00000000" w:rsidR="00000000" w:rsidRPr="00000000">
              <w:rPr>
                <w:sz w:val="17"/>
                <w:rtl w:val="0"/>
              </w:rPr>
            </w:r>
          </w:p>
        </w:tc>
        <w:tc>
          <w:tcPr>
            <w:tcW w:type="dxa" w:w="5760"/>
            <w:tcMar>
              <w:top w:w="90" w:type="dxa"/>
              <w:left w:w="75.0" w:type="dxa"/>
              <w:bottom w:w="90" w:type="dxa"/>
              <w:right w:w="75.0" w:type="dxa"/>
              <w:start w:w="110" w:type="dxa"/>
              <w:end w:w="110" w:type="dxa"/>
            </w:tcMar>
            <w:vAlign w:val="center"/>
          </w:tcPr>
          <w:p w:rsidR="00000000" w:rsidDel="00000000" w:rsidP="00000000" w:rsidRDefault="00000000" w:rsidRPr="00000000" w14:paraId="000000BB">
            <w:pPr>
              <w:spacing w:after="0" w:line="240" w:lineRule="auto" w:before="0"/>
              <w:rPr/>
            </w:pPr>
            <w:r w:rsidDel="00000000" w:rsidR="00000000" w:rsidRPr="00000000">
              <w:rPr>
                <w:sz w:val="17"/>
                <w:szCs w:val="20"/>
                <w:rtl w:val="0"/>
              </w:rPr>
              <w:t>Досрочный переход части прав только при сочетании двух событий: продажи компании и последующей потери должности или существенного ухудшения условий не по вине участника.</w:t>
            </w:r>
            <w:r w:rsidDel="00000000" w:rsidR="00000000" w:rsidRPr="00000000">
              <w:rPr>
                <w:sz w:val="17"/>
                <w:rtl w:val="0"/>
              </w:rPr>
            </w:r>
          </w:p>
        </w:tc>
      </w:tr>
      <w:tr>
        <w:trPr>
          <w:cantSplit w:val="0"/>
          <w:tblHeader w:val="0"/>
        </w:trPr>
        <w:tc>
          <w:tcPr>
            <w:tcW w:type="dxa" w:w="3168"/>
            <w:vAlign w:val="center"/>
            <w:tcMar>
              <w:top w:w="90" w:type="dxa"/>
              <w:start w:w="110" w:type="dxa"/>
              <w:bottom w:w="90" w:type="dxa"/>
              <w:end w:w="110" w:type="dxa"/>
            </w:tcMar>
          </w:tcPr>
          <w:p w:rsidR="00000000" w:rsidDel="00000000" w:rsidP="00000000" w:rsidRDefault="00000000" w:rsidRPr="00000000" w14:paraId="000000BC">
            <w:pPr>
              <w:spacing w:after="0" w:before="0" w:line="240" w:lineRule="auto"/>
              <w:rPr/>
            </w:pPr>
            <w:r w:rsidDel="00000000" w:rsidR="00000000" w:rsidRPr="00000000">
              <w:rPr>
                <w:sz w:val="17"/>
                <w:rtl w:val="0"/>
              </w:rPr>
              <w:t>Входной пакет</w:t>
            </w:r>
          </w:p>
        </w:tc>
        <w:tc>
          <w:tcPr>
            <w:tcW w:type="dxa" w:w="5760"/>
            <w:vAlign w:val="center"/>
            <w:tcMar>
              <w:top w:w="90" w:type="dxa"/>
              <w:start w:w="110" w:type="dxa"/>
              <w:bottom w:w="90" w:type="dxa"/>
              <w:end w:w="110" w:type="dxa"/>
            </w:tcMar>
          </w:tcPr>
          <w:p w:rsidR="00000000" w:rsidDel="00000000" w:rsidP="00000000" w:rsidRDefault="00000000" w:rsidRPr="00000000" w14:paraId="000000BD">
            <w:pPr>
              <w:spacing w:after="0" w:before="0" w:line="240" w:lineRule="auto"/>
              <w:rPr/>
            </w:pPr>
            <w:r w:rsidDel="00000000" w:rsidR="00000000" w:rsidRPr="00000000">
              <w:rPr>
                <w:sz w:val="17"/>
                <w:rtl w:val="0"/>
              </w:rPr>
              <w:t>Первый пакет, который Совет директоров может утвердить при найме сильного кандидата или после 3–6 месяцев подтвержденной полезности. Он заменяет первый годовой пакет за совпадающий период и не складывается с ним автоматически.</w:t>
            </w:r>
          </w:p>
        </w:tc>
      </w:tr>
      <w:tr>
        <w:tc>
          <w:tcPr>
            <w:tcW w:type="dxa" w:w="3168"/>
            <w:vAlign w:val="center"/>
            <w:tcMar>
              <w:top w:w="90" w:type="dxa"/>
              <w:start w:w="110" w:type="dxa"/>
              <w:bottom w:w="90" w:type="dxa"/>
              <w:end w:w="110" w:type="dxa"/>
            </w:tcMar>
          </w:tcPr>
          <w:p>
            <w:pPr>
              <w:spacing w:after="0" w:before="0" w:line="240" w:lineRule="auto"/>
            </w:pPr>
            <w:r>
              <w:rPr>
                <w:sz w:val="17"/>
              </w:rPr>
            </w:r>
            <w:r>
              <w:rPr>
                <w:b/>
                <w:sz w:val="17"/>
              </w:rPr>
              <w:t>Годовой цикл результата</w:t>
            </w:r>
          </w:p>
        </w:tc>
        <w:tc>
          <w:tcPr>
            <w:tcW w:type="dxa" w:w="5760"/>
            <w:vAlign w:val="center"/>
            <w:tcMar>
              <w:top w:w="90" w:type="dxa"/>
              <w:start w:w="110" w:type="dxa"/>
              <w:bottom w:w="90" w:type="dxa"/>
              <w:end w:w="110" w:type="dxa"/>
            </w:tcMar>
          </w:tcPr>
          <w:p>
            <w:pPr>
              <w:spacing w:after="0" w:before="0" w:line="240" w:lineRule="auto"/>
            </w:pPr>
            <w:r>
              <w:rPr>
                <w:sz w:val="17"/>
              </w:rPr>
            </w:r>
            <w:r>
              <w:rPr>
                <w:b w:val="0"/>
                <w:sz w:val="17"/>
              </w:rPr>
              <w:t>Период, обычно календарный год, на начало которого фиксируются условное участие, цели, целевой размер и начальная цена, а после окончания подтверждается результат.</w:t>
            </w:r>
          </w:p>
        </w:tc>
      </w:tr>
      <w:tr>
        <w:tc>
          <w:tcPr>
            <w:tcW w:type="dxa" w:w="3168"/>
            <w:vAlign w:val="center"/>
            <w:tcMar>
              <w:top w:w="90" w:type="dxa"/>
              <w:start w:w="110" w:type="dxa"/>
              <w:bottom w:w="90" w:type="dxa"/>
              <w:end w:w="110" w:type="dxa"/>
            </w:tcMar>
          </w:tcPr>
          <w:p>
            <w:pPr>
              <w:spacing w:after="0" w:before="0" w:line="240" w:lineRule="auto"/>
            </w:pPr>
            <w:r>
              <w:rPr>
                <w:sz w:val="17"/>
              </w:rPr>
            </w:r>
            <w:r>
              <w:rPr>
                <w:b/>
                <w:sz w:val="17"/>
              </w:rPr>
              <w:t>Начальная дата оценки</w:t>
            </w:r>
          </w:p>
        </w:tc>
        <w:tc>
          <w:tcPr>
            <w:tcW w:type="dxa" w:w="5760"/>
            <w:vAlign w:val="center"/>
            <w:tcMar>
              <w:top w:w="90" w:type="dxa"/>
              <w:start w:w="110" w:type="dxa"/>
              <w:bottom w:w="90" w:type="dxa"/>
              <w:end w:w="110" w:type="dxa"/>
            </w:tcMar>
          </w:tcPr>
          <w:p>
            <w:pPr>
              <w:spacing w:after="0" w:before="0" w:line="240" w:lineRule="auto"/>
            </w:pPr>
            <w:r>
              <w:rPr>
                <w:sz w:val="17"/>
              </w:rPr>
            </w:r>
            <w:r>
              <w:rPr>
                <w:b w:val="0"/>
                <w:sz w:val="17"/>
              </w:rPr>
              <w:t>Дата начала годового цикла либо дата входа нового участника, на которую определяются стоимость капитала, полностью разводненная база и начальная цена.</w:t>
            </w:r>
          </w:p>
        </w:tc>
      </w:tr>
      <w:tr>
        <w:tc>
          <w:tcPr>
            <w:tcW w:type="dxa" w:w="3168"/>
            <w:vAlign w:val="center"/>
            <w:tcMar>
              <w:top w:w="90" w:type="dxa"/>
              <w:start w:w="110" w:type="dxa"/>
              <w:bottom w:w="90" w:type="dxa"/>
              <w:end w:w="110" w:type="dxa"/>
            </w:tcMar>
          </w:tcPr>
          <w:p>
            <w:pPr>
              <w:spacing w:after="0" w:before="0" w:line="240" w:lineRule="auto"/>
            </w:pPr>
            <w:r>
              <w:rPr>
                <w:sz w:val="17"/>
              </w:rPr>
            </w:r>
            <w:r>
              <w:rPr>
                <w:b/>
                <w:sz w:val="17"/>
              </w:rPr>
              <w:t>Дата подтверждения и выдачи</w:t>
            </w:r>
          </w:p>
        </w:tc>
        <w:tc>
          <w:tcPr>
            <w:tcW w:type="dxa" w:w="5760"/>
            <w:vAlign w:val="center"/>
            <w:tcMar>
              <w:top w:w="90" w:type="dxa"/>
              <w:start w:w="110" w:type="dxa"/>
              <w:bottom w:w="90" w:type="dxa"/>
              <w:end w:w="110" w:type="dxa"/>
            </w:tcMar>
          </w:tcPr>
          <w:p>
            <w:pPr>
              <w:spacing w:after="0" w:before="0" w:line="240" w:lineRule="auto"/>
            </w:pPr>
            <w:r>
              <w:rPr>
                <w:sz w:val="17"/>
              </w:rPr>
            </w:r>
            <w:r>
              <w:rPr>
                <w:b w:val="0"/>
                <w:sz w:val="17"/>
              </w:rPr>
              <w:t>Дата после окончания цикла, когда Совет подтверждает результат и число единиц. Она может быть юридической или бухгалтерской датой выдачи и не заменяет начальную дату оценки.</w:t>
            </w:r>
          </w:p>
        </w:tc>
      </w:tr>
      <w:tr>
        <w:tc>
          <w:tcPr>
            <w:tcW w:type="dxa" w:w="3168"/>
            <w:vAlign w:val="center"/>
            <w:tcMar>
              <w:top w:w="90" w:type="dxa"/>
              <w:start w:w="110" w:type="dxa"/>
              <w:bottom w:w="90" w:type="dxa"/>
              <w:end w:w="110" w:type="dxa"/>
            </w:tcMar>
          </w:tcPr>
          <w:p>
            <w:pPr>
              <w:spacing w:after="0" w:before="0" w:line="240" w:lineRule="auto"/>
            </w:pPr>
            <w:r>
              <w:rPr>
                <w:sz w:val="17"/>
              </w:rPr>
            </w:r>
            <w:r>
              <w:rPr>
                <w:b/>
                <w:sz w:val="17"/>
              </w:rPr>
              <w:t>Дата начала закрепления права</w:t>
            </w:r>
          </w:p>
        </w:tc>
        <w:tc>
          <w:tcPr>
            <w:tcW w:type="dxa" w:w="5760"/>
            <w:vAlign w:val="center"/>
            <w:tcMar>
              <w:top w:w="90" w:type="dxa"/>
              <w:start w:w="110" w:type="dxa"/>
              <w:bottom w:w="90" w:type="dxa"/>
              <w:end w:w="110" w:type="dxa"/>
            </w:tcMar>
          </w:tcPr>
          <w:p>
            <w:pPr>
              <w:spacing w:after="0" w:before="0" w:line="240" w:lineRule="auto"/>
            </w:pPr>
            <w:r>
              <w:rPr>
                <w:sz w:val="17"/>
              </w:rPr>
            </w:r>
            <w:r>
              <w:rPr>
                <w:b w:val="0"/>
                <w:sz w:val="17"/>
              </w:rPr>
              <w:t>Дата подтверждения и выдачи пакета, от которой отсчитываются 3, 6 и далее до 36 месяцев. Для отдельного входного пакета Совет может установить иную прямо указанную дату.</w:t>
            </w:r>
          </w:p>
        </w:tc>
      </w:tr>
      <w:tr>
        <w:tc>
          <w:tcPr>
            <w:tcW w:type="dxa" w:w="3168"/>
            <w:vAlign w:val="center"/>
            <w:tcMar>
              <w:top w:w="90" w:type="dxa"/>
              <w:start w:w="110" w:type="dxa"/>
              <w:bottom w:w="90" w:type="dxa"/>
              <w:end w:w="110" w:type="dxa"/>
            </w:tcMar>
          </w:tcPr>
          <w:p>
            <w:pPr>
              <w:spacing w:after="0" w:before="0" w:line="240" w:lineRule="auto"/>
            </w:pPr>
            <w:r>
              <w:rPr>
                <w:sz w:val="17"/>
              </w:rPr>
            </w:r>
            <w:r>
              <w:rPr>
                <w:b/>
                <w:sz w:val="17"/>
              </w:rPr>
              <w:t>Условная возможность участия</w:t>
            </w:r>
          </w:p>
        </w:tc>
        <w:tc>
          <w:tcPr>
            <w:tcW w:type="dxa" w:w="5760"/>
            <w:vAlign w:val="center"/>
            <w:tcMar>
              <w:top w:w="90" w:type="dxa"/>
              <w:start w:w="110" w:type="dxa"/>
              <w:bottom w:w="90" w:type="dxa"/>
              <w:end w:w="110" w:type="dxa"/>
            </w:tcMar>
          </w:tcPr>
          <w:p>
            <w:pPr>
              <w:spacing w:after="0" w:before="0" w:line="240" w:lineRule="auto"/>
            </w:pPr>
            <w:r>
              <w:rPr>
                <w:sz w:val="17"/>
              </w:rPr>
            </w:r>
            <w:r>
              <w:rPr>
                <w:b w:val="0"/>
                <w:sz w:val="17"/>
              </w:rPr>
              <w:t>Письменно сообщенное в начале цикла право быть оцененным по заранее заданной формуле при выполнении условий; до подтверждения результата это не выданный пакет и не гарантированная сумма.</w:t>
            </w:r>
          </w:p>
        </w:tc>
      </w:tr>
    </w:tbl>
    <w:sectPr>
      <w:footerReference w:type="default" r:id="rId7"/>
      <w:headerReference w:type="default" r:id="rId8"/>
      <w:pgSz w:h="16838" w:w="11906" w:orient="portrait"/>
      <w:pgMar w:bottom="850" w:top="907" w:left="964" w:right="964" w:header="340" w:footer="3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Aivel · LTI · рекомендуемая конструкция</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ru"/>
      </w:rPr>
    </w:rPrDefault>
    <w:pPrDefault>
      <w:pPr>
        <w:spacing w:after="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59" w:lineRule="auto"/>
    </w:pPr>
    <w:rPr>
      <w:rFonts w:ascii="Aptos" w:hAnsi="Aptos" w:eastAsia="Aptos"/>
      <w:sz w:val="20"/>
    </w:rPr>
  </w:style>
  <w:style w:type="paragraph" w:styleId="Heading1">
    <w:name w:val="heading 1"/>
    <w:basedOn w:val="Normal"/>
    <w:next w:val="Normal"/>
    <w:pPr>
      <w:keepNext/>
      <w:keepLines w:val="1"/>
      <w:spacing w:before="200" w:lineRule="auto" w:after="120"/>
    </w:pPr>
    <w:rPr>
      <w:rFonts w:ascii="Aptos Display" w:cs="Calibri" w:eastAsia="Aptos Display" w:hAnsi="Aptos Display"/>
      <w:b/>
      <w:bCs w:val="1"/>
      <w:color w:val="0F1722"/>
      <w:sz w:val="34"/>
      <w:szCs w:val="28"/>
    </w:rPr>
  </w:style>
  <w:style w:type="paragraph" w:styleId="Heading2">
    <w:name w:val="heading 2"/>
    <w:basedOn w:val="Normal"/>
    <w:next w:val="Normal"/>
    <w:pPr>
      <w:keepNext/>
      <w:keepLines w:val="1"/>
      <w:spacing w:before="200" w:lineRule="auto" w:after="120"/>
    </w:pPr>
    <w:rPr>
      <w:rFonts w:ascii="Aptos Display" w:cs="Calibri" w:eastAsia="Aptos Display" w:hAnsi="Aptos Display"/>
      <w:b/>
      <w:bCs w:val="1"/>
      <w:color w:val="0A66D6"/>
      <w:sz w:val="25"/>
      <w:szCs w:val="26"/>
    </w:rPr>
  </w:style>
  <w:style w:type="paragraph" w:styleId="Heading3">
    <w:name w:val="heading 3"/>
    <w:basedOn w:val="Normal"/>
    <w:next w:val="Normal"/>
    <w:pPr>
      <w:keepNext w:val="1"/>
      <w:keepLines w:val="1"/>
      <w:spacing w:before="200" w:lineRule="auto"/>
    </w:pPr>
    <w:rPr>
      <w:rFonts w:ascii="Calibri" w:cs="Calibri" w:eastAsia="Calibri" w:hAnsi="Calibri"/>
      <w:b w:val="1"/>
      <w:bCs w:val="1"/>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before="200" w:lineRule="auto"/>
    </w:pPr>
    <w:rPr>
      <w:rFonts w:ascii="Calibri" w:cs="Calibri" w:eastAsia="Calibri" w:hAnsi="Calibri"/>
    </w:rPr>
  </w:style>
  <w:style w:type="paragraph" w:styleId="Heading6">
    <w:name w:val="heading 6"/>
    <w:basedOn w:val="Normal"/>
    <w:next w:val="Normal"/>
    <w:pPr>
      <w:keepNext w:val="1"/>
      <w:keepLines w:val="1"/>
      <w:spacing w:before="200" w:lineRule="auto"/>
    </w:pPr>
    <w:rPr>
      <w:rFonts w:ascii="Calibri" w:cs="Calibri" w:eastAsia="Calibri" w:hAnsi="Calibri"/>
      <w:i w:val="1"/>
      <w:iCs w:val="1"/>
    </w:rPr>
  </w:style>
  <w:style w:type="paragraph" w:styleId="Title">
    <w:name w:val="Title"/>
    <w:basedOn w:val="Normal"/>
    <w:next w:val="Normal"/>
    <w:pPr>
      <w:keepNext/>
      <w:spacing w:after="120" w:lineRule="auto" w:before="0"/>
    </w:pPr>
    <w:rPr>
      <w:rFonts w:ascii="Aptos Display" w:cs="Calibri" w:eastAsia="Aptos Display" w:hAnsi="Aptos Display"/>
      <w:b/>
      <w:color w:val="0F1722"/>
      <w:sz w:val="50"/>
      <w:szCs w:val="52"/>
    </w:rPr>
  </w:style>
  <w:style w:type="paragraph" w:styleId="Subtitle">
    <w:name w:val="Subtitle"/>
    <w:basedOn w:val="Normal"/>
    <w:next w:val="Normal"/>
    <w:pPr/>
    <w:rPr>
      <w:rFonts w:ascii="Calibri" w:cs="Calibri" w:eastAsia="Calibri" w:hAnsi="Calibri"/>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52RBstgNdGouGKFnf7Gg4Ml0yQ==">CgMxLjA4AHIhMUVEb3lxdDB3MFJSam9SSzlmZmYwMkxaQ05haV9NbVJk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Aivel LTI — рекомендуемая конструкция для команды и инвесторов</dc:title>
  <cp:lastModifiedBy>python-docx</cp:lastModifiedBy>
  <cp:revision>1</cp:revision>
  <dcterms:modified xsi:type="dcterms:W3CDTF">2026-07-17T13:02:21Z</dcterms:modified>
  <dc:subject>Правила программы и базовая пятилетняя модель</dc:subject>
  <dc:description>Обновлено: пятилетняя модель, стресс-тест без роста и дивидендный сценарий.</dc:description>
</cp:coreProperties>
</file>