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Types>
</file>

<file path=_rels/.rels><?xml version="1.0" encoding="UTF-8"?><Relationships xmlns="http://schemas.openxmlformats.org/package/2006/relationships"><Relationship Id="document" Type="http://schemas.openxmlformats.org/officeDocument/2006/relationships/officeDocument" Target="word/document.xml"/></Relationships>
</file>

<file path=word/document.xml><?xml version="1.0" encoding="utf-8"?>
<w:document xmlns:r="http://schemas.openxmlformats.org/officeDocument/2006/relationships" xmlns:w="http://schemas.openxmlformats.org/wordprocessingml/2006/main">
  <w:body>
    <w:p>
      <w:pPr>
        <w:pStyle w:val="Title"/>
      </w:pPr>
      <w:r>
        <w:rPr/>
        <w:t xml:space="preserve">Глава 1. Следующий мост построит машина</w:t>
      </w:r>
    </w:p>
    <w:p>
      <w:pPr>
        <w:pStyle w:val="Subtitle"/>
      </w:pPr>
      <w:r>
        <w:rPr/>
        <w:t xml:space="preserve">Право на решение · версия 7.0</w:t>
      </w:r>
    </w:p>
    <w:p>
      <w:pPr>
        <w:pStyle w:val="Normal"/>
      </w:pPr>
      <w:r>
        <w:rPr/>
        <w:t xml:space="preserve">Мост ещё не построен. На одном берегу дорога упирается в реку, на другом должна продолжиться. Известные решения не подходят: грунт изучен недостаточно, новый материал ведёт себя иначе, чем обещает привычный расчёт. Потребуется исследование.</w:t>
      </w:r>
    </w:p>
    <w:p>
      <w:pPr>
        <w:pStyle w:val="Normal"/>
      </w:pPr>
      <w:r>
        <w:rPr/>
        <w:t xml:space="preserve">В таком мысленном примере легко оставить человеку последнюю работу. Машина переберёт известное, а инженер догадается о неизвестном. Он поставит вопрос, которого нет в базе, и тем самым сохранит своё место в будущем.</w:t>
      </w:r>
    </w:p>
    <w:p>
      <w:pPr>
        <w:pStyle w:val="Normal"/>
      </w:pPr>
      <w:r>
        <w:rPr/>
        <w:t xml:space="preserve">Но допустим, система умеет делать и это. Она замечает недостаточность модели, предлагает исследование, сопоставляет объяснения и меняет проект по результату. Ей не обязательно быть безошибочной. Достаточно уметь обнаруживать и исправлять ошибки без неизменной потребности в человеческом спасителе.</w:t>
      </w:r>
    </w:p>
    <w:p>
      <w:pPr>
        <w:pStyle w:val="Normal"/>
      </w:pPr>
      <w:r>
        <w:rPr/>
        <w:t xml:space="preserve">Следующий мост тоже построит она.</w:t>
      </w:r>
    </w:p>
    <w:p>
      <w:pPr>
        <w:pStyle w:val="Normal"/>
      </w:pPr>
      <w:r>
        <w:rPr/>
        <w:t xml:space="preserve">Человек может остаться заказчиком, исследователем, соавтором. Мы лишь сняли гарантию, что дорога на другой берег не появится без следующего человеческого инженера. Именно эта гарантия незаметно поддерживает многие наши рассуждения об образовании. Новые задачи потребуют новых людей, следовательно, мир будет нуждаться в их развитии. Стоит исчезнуть первой связке, и вторую придётся обосновывать заново.</w:t>
      </w:r>
    </w:p>
    <w:p>
      <w:pPr>
        <w:pStyle w:val="Normal"/>
      </w:pPr>
      <w:r>
        <w:rPr/>
        <w:t xml:space="preserve">Это сильное допущение о возможном интеллекте, не сообщение о сегодняшних системах. Оно нужно, чтобы не построить ответ на временной слабости инструмента. Если ценность человеческого участия каждый раз прячется в последней недоступной машине операции, развитие техники будет отнимать у нашего проекта его очередное основание.</w:t>
      </w:r>
    </w:p>
    <w:p>
      <w:pPr>
        <w:pStyle w:val="Normal"/>
      </w:pPr>
      <w:r>
        <w:rPr/>
        <w:t xml:space="preserve">Пока производство зависит от подготовленных людей, у него есть причина оплачивать хотя бы часть их подготовки. Эта причина никогда не обеспечивала ни равенства, ни хорошей школы для каждого. Но связь существовала по самому устройству дела: следующую сложную работу должен был кто-то освоить. Теперь представим предприятие, которому для продолжения достаточно поддерживать и развивать машинную систему. Расходы на рост начинающего человека окажутся в другом положении. Их уже нельзя объяснить только необходимостью следующего результата.</w:t>
      </w:r>
    </w:p>
    <w:p>
      <w:pPr>
        <w:pStyle w:val="Normal"/>
      </w:pPr>
      <w:r>
        <w:rPr/>
        <w:t xml:space="preserve">При этом учиться ему может стать легче.</w:t>
      </w:r>
    </w:p>
    <w:p>
      <w:pPr>
        <w:pStyle w:val="Normal"/>
      </w:pPr>
      <w:r>
        <w:rPr/>
        <w:t xml:space="preserve">Тот же интеллект, который обошёлся без нового инженера, способен оказаться замечательным учителем. Он объяснит расчёт несколькими способами, подберёт задачу, поможет проверить догадку. Исчезнут годы, потраченные на поиск недоступной книги или человека, которому можно задать вопрос. Станет дешевле пробовать и проще объединять разные знания.</w:t>
      </w:r>
    </w:p>
    <w:p>
      <w:pPr>
        <w:pStyle w:val="Normal"/>
      </w:pPr>
      <w:r>
        <w:rPr/>
        <w:t xml:space="preserve">Обычно мы складываем эти изменения в одну картину: сильнее помощник — шире развитие. Но перед нами две разные линии. Доступность учёбы растёт, а хозяйственная необходимость ждать её результата уменьшается. Изобилие объяснений ещё не отвечает на вопрос, где человек получит время и средства для собственной работы.</w:t>
      </w:r>
    </w:p>
    <w:p>
      <w:pPr>
        <w:pStyle w:val="Normal"/>
      </w:pPr>
      <w:r>
        <w:rPr/>
        <w:t xml:space="preserve">Проекту нужен мост к определённому сроку. Начинающему инженеру нужно понять, почему одна модель грунта оказалась непригодной, придумать проверку и пережить неудачу своей гипотезы. Обе потребности разумны; их часы идут по-разному. Система завершит исследование, пока человек ещё ищет подход к задаче. Если единственный смысл его присутствия — ускорить строительство, легче сократить именно человеческий путь.</w:t>
      </w:r>
    </w:p>
    <w:p>
      <w:pPr>
        <w:pStyle w:val="Normal"/>
      </w:pPr>
      <w:r>
        <w:rPr/>
        <w:t xml:space="preserve">Ему могут оставить удобный учебный двойник проекта. Это полезно, пока ясно, куда ведёт такая работа. Но можно бесконечно упражняться в копии мира, не получая возможности изменить оригинал. Тогда совершенствуется обучение, а вход в деятельность отодвигается.</w:t>
      </w:r>
    </w:p>
    <w:p>
      <w:pPr>
        <w:pStyle w:val="Normal"/>
      </w:pPr>
      <w:r>
        <w:rPr/>
        <w:t xml:space="preserve">Сходную тревогу обсуждают через возможную утрату человеческого знания. В модели Асемоглу, Конга и Оздаглар точные рекомендации ИИ при определённых условиях ослабляют усилие, питающее общее знание. Авторы рассматривают и машинное пополнение этого знания.</w:t>
      </w:r>
      <w:hyperlink w:anchor="Note1" w:history="1">
        <w:r>
          <w:rPr>
            <w:rStyle w:val="Hyperlink"/>
          </w:rPr>
          <w:t xml:space="preserve">[1]</w:t>
        </w:r>
      </w:hyperlink>
      <w:r>
        <w:rPr/>
        <w:t xml:space="preserve"> Поэтому наш вопрос не требует объявлять неизбежным его упадок. Допустим благоприятную ветвь: знание растёт, техника успешно развивается. Остаётся выяснить, появляются ли люди и коллективы, способные пользоваться этим знанием для собственных начинаний. Техническая культура может продолжаться, даже если путь нового человеческого автора к ней становится всё уже.</w:t>
      </w:r>
    </w:p>
    <w:p>
      <w:pPr>
        <w:pStyle w:val="Normal"/>
      </w:pPr>
      <w:r>
        <w:rPr/>
        <w:t xml:space="preserve">Чтобы увидеть масштаб расхождения, перенесём вопрос далеко от одного моста.</w:t>
      </w:r>
    </w:p>
    <w:p>
      <w:pPr>
        <w:pStyle w:val="Normal"/>
      </w:pPr>
      <w:r>
        <w:rPr/>
        <w:t xml:space="preserve">Вообразим предприятие, которое добывает воду из вещества астероида и доставляет её потребителю на орбитальный узел. Нас интересует вода у получателя, пригодная для оговорённого использования. Наличие вещества в астероиде ещё не делает его товаром: между ними лежит цепочка исследований, добычи, переработки, хранения и перевозки. На каждом участке нужны средства, а вся цепочка должна оказаться предпочтительнее другого снабжения или отказа от затеи.</w:t>
      </w:r>
    </w:p>
    <w:p>
      <w:pPr>
        <w:pStyle w:val="Normal"/>
      </w:pPr>
      <w:r>
        <w:rPr/>
        <w:t xml:space="preserve">Мы начинаем с возможности. Реальная миссия OSIRIS-REx доставила на Землю капсулу с образцом Бенну 24 сентября 2023 года.</w:t>
      </w:r>
      <w:hyperlink w:anchor="Note2" w:history="1">
        <w:r>
          <w:rPr>
            <w:rStyle w:val="Hyperlink"/>
          </w:rPr>
          <w:t xml:space="preserve">[2]</w:t>
        </w:r>
      </w:hyperlink>
      <w:r>
        <w:rPr/>
        <w:t xml:space="preserve"> Доставка исследовательского образца позволяет поставить следующий вопрос, но не оплачивает промышленную цепочку. Её осуществимость в нашем примере ещё предстоит допустить отдельно. Земное снабжение, лунные ресурсы и отсутствие такого предприятия остаются настоящими альтернативами.</w:t>
      </w:r>
    </w:p>
    <w:p>
      <w:pPr>
        <w:pStyle w:val="Normal"/>
      </w:pPr>
      <w:r>
        <w:rPr/>
        <w:t xml:space="preserve">Пока же видна важная зависимость. Первая добывающая система получает с Земли оборудование, деньги, вычисления и назначение своей работы. Пусть её машины почти всё делают самостоятельно: экономически предприятие ещё держится на внешней поддержке. Тот, кто оплачивает доставку оборудования и готов ждать результата, влияет на то, какие исследования начнутся первыми. Выбор технологии уже заключает в себе выбор того, ради чего стоит тратить ограниченные средства.</w:t>
      </w:r>
    </w:p>
    <w:p>
      <w:pPr>
        <w:pStyle w:val="Normal"/>
      </w:pPr>
      <w:r>
        <w:rPr/>
        <w:t xml:space="preserve">Можно направить всю доступную помощь на скорейшую поставку воды. Можно часть времени оборудования отдать исследованию другого способа снабжения. Можно предоставить этот участок людям, которые ещё не способны выполнить его без сильного интеллекта. Последний выбор будет стоить чего-то даже при прекрасной машине: вычислений, доступа к данным, внимания специалистов, отсроченного использования общего ресурса. Человеческое развитие не становится бесплатным оттого, что преподаватель теперь доступен постоянно.</w:t>
      </w:r>
    </w:p>
    <w:p>
      <w:pPr>
        <w:pStyle w:val="Normal"/>
      </w:pPr>
      <w:r>
        <w:rPr/>
        <w:t xml:space="preserve">Когда-нибудь мы допустим, что предприятие преодолело эти трудности. Пока достаточно заметить, что вопрос о новых людях возникает раньше первой прибыльной поставки. В какие отношения им предстоит войти? Кто сможет выделить средства на их незавершённость? Что изменится, когда они начнут предлагать другой путь?</w:t>
      </w:r>
    </w:p>
    <w:p>
      <w:pPr>
        <w:pStyle w:val="Normal"/>
      </w:pPr>
      <w:r>
        <w:rPr/>
        <w:t xml:space="preserve">Конечно, большинство может предпочесть пользоваться готовым мостом и получать воду. Это не ущербный выбор. Хорошая жизнь не обязана состоять из непрерывного исследования. Но даже человеку, который сегодня охотно доверяет работу системе, завтра может понадобиться возможность понять её основания и действовать иначе.</w:t>
      </w:r>
    </w:p>
    <w:p>
      <w:pPr>
        <w:pStyle w:val="Normal"/>
      </w:pPr>
      <w:r>
        <w:rPr/>
        <w:t xml:space="preserve">Нас интересует устройство мира, в котором это желание имеет продолжение. Чтобы спроектировать его, сначала придётся различить две вещи, которые благополучие легко соединяет в одно: получать то, что тебе нужно, и иметь возможность участвовать в решении, каким будет общее дело.</w:t>
      </w:r>
    </w:p>
    <w:p>
      <w:pPr>
        <w:pStyle w:val="Heading1"/>
      </w:pPr>
      <w:r>
        <w:rPr/>
        <w:t xml:space="preserve">Источники и примечания</w:t>
      </w:r>
    </w:p>
    <w:p>
      <w:pPr>
        <w:pStyle w:val="Note"/>
      </w:pPr>
      <w:bookmarkStart w:id="1" w:name="Note1"/>
      <w:r>
        <w:rPr/>
        <w:t xml:space="preserve">1. </w:t>
      </w:r>
      <w:r>
        <w:rPr/>
        <w:t xml:space="preserve">Daron Acemoglu, Jin Kong, Asuman Ozdaglar. </w:t>
      </w:r>
      <w:hyperlink w:history="1" r:id="link1">
        <w:r>
          <w:rPr>
            <w:i/>
            <w:rStyle w:val="Hyperlink"/>
          </w:rPr>
          <w:t xml:space="preserve">AI, Human Cognition and Knowledge Collapse</w:t>
        </w:r>
      </w:hyperlink>
      <w:hyperlink w:history="1" r:id="link1">
        <w:r>
          <w:rPr>
            <w:rStyle w:val="Hyperlink"/>
          </w:rPr>
          <w:t xml:space="preserve">, версия 5 May 2026</w:t>
        </w:r>
      </w:hyperlink>
      <w:r>
        <w:rPr/>
        <w:t xml:space="preserve">. Введение, печатные с. 1–4; §5.2, с. 32–33, примечание 11 и Proposition 15. Эти фрагменты проверены 6 сентября 2026 года. Теоретическая модель не устанавливает неизбежного исхода; наше различение касается человеческой самостоятельности даже при продолжении машинного знания.</w:t>
      </w:r>
      <w:bookmarkEnd w:id="1"/>
    </w:p>
    <w:p>
      <w:pPr>
        <w:pStyle w:val="Note"/>
      </w:pPr>
      <w:bookmarkStart w:id="2" w:name="Note2"/>
      <w:r>
        <w:rPr/>
        <w:t xml:space="preserve">2. </w:t>
      </w:r>
      <w:r>
        <w:rPr/>
        <w:t xml:space="preserve">NASA. </w:t>
      </w:r>
      <w:hyperlink w:history="1" r:id="link2">
        <w:r>
          <w:rPr>
            <w:rStyle w:val="Hyperlink"/>
          </w:rPr>
          <w:t xml:space="preserve">OSIRIS-REx: Mission Overview</w:t>
        </w:r>
      </w:hyperlink>
      <w:r>
        <w:rPr/>
        <w:t xml:space="preserve">, вводный блок и поле Sample delivered, проверены 6 сентября 2026 года. На Землю прибыла капсула с образцом; основной аппарат продолжил полёт. Промышленная добыча из этого события не выводится.</w:t>
      </w:r>
      <w:bookmarkEnd w:id="2"/>
    </w:p>
    <w:p>
      <w:pPr>
        <w:pStyle w:val="Note"/>
      </w:pPr>
      <w:r>
        <w:rPr/>
        <w:t xml:space="preserve">Мост и добывающее предприятие — мысленные эксперименты. Начальные условия космического сценария и переходы между его версиями собраны в паспорте новой редакции.</w:t>
      </w:r>
    </w:p>
    <w:sectPr>
      <w:footerReference w:type="default" r:id="footer"/>
      <w:pgSz w:w="11906" w:h="16838"/>
      <w:pgMar w:top="1276" w:right="1361" w:bottom="1276" w:left="1361" w:header="567" w:footer="567" w:gutter="0"/>
    </w:sectPr>
  </w:body>
</w:document>
</file>

<file path=word/footer1.xml><?xml version="1.0" encoding="utf-8"?>
<w:ftr xmlns:w="http://schemas.openxmlformats.org/wordprocessingml/2006/main">
  <w:p>
    <w:pPr>
      <w:jc w:val="center"/>
    </w:pPr>
    <w:fldSimple w:instr="PAGE">
      <w:r>
        <w:t>1</w:t>
      </w:r>
    </w:fldSimple>
  </w:p>
</w:ftr>
</file>

<file path=word/styles.xml><?xml version="1.0" encoding="utf-8"?>
<w:styles xmlns:w="http://schemas.openxmlformats.org/wordprocessingml/2006/main">
  <w:docDefaults>
    <w:rPrDefault>
      <w:rPr>
        <w:rFonts w:ascii="Georgia" w:hAnsi="Georgia" w:cs="Georgia"/>
        <w:sz w:val="24"/>
        <w:lang w:val="ru-RU"/>
      </w:rPr>
    </w:rPrDefault>
  </w:docDefaults>
  <w:style w:type="paragraph" w:styleId="Normal" w:default="1">
    <w:name w:val="Normal"/>
    <w:pPr>
      <w:spacing w:before="0" w:after="120" w:line="312" w:lineRule="auto"/>
      <w:widowControl/>
    </w:pPr>
    <w:rPr>
      <w:sz w:val="24"/>
    </w:rPr>
  </w:style>
  <w:style w:type="paragraph" w:styleId="Title">
    <w:name w:val="Title"/>
    <w:pPr>
      <w:spacing w:before="0" w:after="240" w:line="312" w:lineRule="auto"/>
      <w:widowControl/>
      <w:keepNext/>
    </w:pPr>
    <w:rPr>
      <w:sz w:val="40"/>
      <w:b/>
    </w:rPr>
  </w:style>
  <w:style w:type="paragraph" w:styleId="Subtitle">
    <w:name w:val="Subtitle"/>
    <w:pPr>
      <w:spacing w:before="0" w:after="480" w:line="312" w:lineRule="auto"/>
      <w:widowControl/>
      <w:keepNext/>
    </w:pPr>
    <w:rPr>
      <w:sz w:val="20"/>
      <w:color w:val="666666"/>
    </w:rPr>
  </w:style>
  <w:style w:type="paragraph" w:styleId="Heading1">
    <w:name w:val="Heading1"/>
    <w:pPr>
      <w:spacing w:before="360" w:after="180" w:line="312" w:lineRule="auto"/>
      <w:widowControl/>
      <w:keepNext/>
      <w:outlineLvl w:val="0"/>
    </w:pPr>
    <w:rPr>
      <w:sz w:val="30"/>
      <w:b/>
    </w:rPr>
  </w:style>
  <w:style w:type="paragraph" w:styleId="Heading2">
    <w:name w:val="Heading2"/>
    <w:pPr>
      <w:spacing w:before="280" w:after="150" w:line="312" w:lineRule="auto"/>
      <w:widowControl/>
      <w:keepNext/>
      <w:outlineLvl w:val="1"/>
    </w:pPr>
    <w:rPr>
      <w:sz w:val="26"/>
      <w:b/>
    </w:rPr>
  </w:style>
  <w:style w:type="paragraph" w:styleId="Separator">
    <w:name w:val="Separator"/>
    <w:pPr>
      <w:spacing w:before="150" w:after="200" w:line="312" w:lineRule="auto"/>
      <w:widowControl/>
      <w:jc w:val="center"/>
    </w:pPr>
    <w:rPr>
      <w:sz w:val="24"/>
    </w:rPr>
  </w:style>
  <w:style w:type="character" w:styleId="Hyperlink">
    <w:name w:val="Hyperlink"/>
    <w:rPr>
      <w:color w:val="315D82"/>
      <w:u w:val="single"/>
    </w:rPr>
  </w:style>
  <w:style w:type="paragraph" w:styleId="Note">
    <w:basedOn w:val="Normal"/>
    <w:rPr>
      <w:sz w:val="20"/>
    </w:rPr>
  </w:style>
</w:styles>
</file>

<file path=word/_rels/document.xml.rels><?xml version='1.0' encoding='utf-8'?>
<Relationships xmlns="http://schemas.openxmlformats.org/package/2006/relationships"><Relationship Id="styles" Type="http://schemas.openxmlformats.org/officeDocument/2006/relationships/styles" Target="styles.xml" /><Relationship Id="footer" Type="http://schemas.openxmlformats.org/officeDocument/2006/relationships/footer" Target="footer1.xml" /><Relationship Id="link1" Type="http://schemas.openxmlformats.org/officeDocument/2006/relationships/hyperlink" Target="https://shapingwork.mit.edu/wp-content/uploads/2026/06/Acemoglu-Kong-Ozdaglar-May-2026.pdf" TargetMode="External" /><Relationship Id="link2" Type="http://schemas.openxmlformats.org/officeDocument/2006/relationships/hyperlink" Target="https://science.nasa.gov/mission/osiris-rex/" TargetMode="External" /></Relationships>
</file>