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2. Обеспечены, но отстранены</w:t>
      </w:r>
    </w:p>
    <w:p>
      <w:pPr>
        <w:pStyle w:val="Subtitle"/>
      </w:pPr>
      <w:r>
        <w:rPr/>
        <w:t xml:space="preserve">Право на решение · версия 7.0</w:t>
      </w:r>
    </w:p>
    <w:p>
      <w:pPr>
        <w:pStyle w:val="Normal"/>
      </w:pPr>
      <w:r>
        <w:rPr/>
        <w:t xml:space="preserve">Просьбу выполнили. Всё нужное доставлено, качество превосходно, цена посильна. Отказа, который можно было бы оспаривать, не произошло. И всё же просивший получил не то, за чем обратился.</w:t>
      </w:r>
    </w:p>
    <w:p>
      <w:pPr>
        <w:pStyle w:val="Normal"/>
      </w:pPr>
      <w:r>
        <w:rPr/>
        <w:t xml:space="preserve">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pStyle w:val="Normal"/>
      </w:pPr>
      <w:r>
        <w:rPr/>
        <w:t xml:space="preserve">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pStyle w:val="Normal"/>
      </w:pPr>
      <w:r>
        <w:rPr/>
        <w:t xml:space="preserve">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одинаковые запасы средств, которыми можно распорядиться сверх текущих обязательств. Никого не заставляют работать ради пропитания. От уровня жизни первое общество нельзя отвернуться с готовым обвинением в жестокости.</w:t>
      </w:r>
    </w:p>
    <w:p>
      <w:pPr>
        <w:pStyle w:val="Normal"/>
      </w:pPr>
      <w:r>
        <w:rPr/>
        <w:t xml:space="preserve">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pStyle w:val="Normal"/>
      </w:pPr>
      <w:r>
        <w:rPr/>
        <w:t xml:space="preserve">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pStyle w:val="Normal"/>
      </w:pPr>
      <w:r>
        <w:rPr/>
        <w:t xml:space="preserve">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pStyle w:val="Normal"/>
      </w:pPr>
      <w:r>
        <w:rPr/>
        <w:t xml:space="preserve">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pStyle w:val="Normal"/>
      </w:pPr>
      <w:r>
        <w:rPr/>
        <w:t xml:space="preserve">Филип Петтит предлагает различать благожелательность чужой власти и её подконтрольность тем, на кого она действует.</w:t>
      </w:r>
      <w:hyperlink w:anchor="Note1" w:history="1">
        <w:r>
          <w:rPr>
            <w:rStyle w:val="Hyperlink"/>
          </w:rPr>
          <w:t xml:space="preserve">[1]</w:t>
        </w:r>
      </w:hyperlink>
      <w:r>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pStyle w:val="Normal"/>
      </w:pPr>
      <w:r>
        <w:rPr/>
        <w:t xml:space="preserve">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pStyle w:val="Normal"/>
      </w:pPr>
      <w:r>
        <w:rPr/>
        <w:t xml:space="preserve">Существенно, чтобы путь между этими масштабами не обрывался навсегда у одного собственника. Две площадки с разными названиями ничего не меняют, если обе зависят от одного разрешения на вычисления, энергию и данные. Формальное разнообразие организаций может скрывать единственную точку, где чужое продолжение становится невозможным.</w:t>
      </w:r>
    </w:p>
    <w:p>
      <w:pPr>
        <w:pStyle w:val="Normal"/>
      </w:pPr>
      <w:r>
        <w:rPr/>
        <w:t xml:space="preserve">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 Поэтому разговор о распределении придётся вести по меньшей мере о трёх вещах — доступных благах, доходах от производства и влиянии на его продолжение.</w:t>
      </w:r>
    </w:p>
    <w:p>
      <w:pPr>
        <w:pStyle w:val="Normal"/>
      </w:pPr>
      <w:r>
        <w:rPr/>
        <w:t xml:space="preserve">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pStyle w:val="Normal"/>
      </w:pPr>
      <w:r>
        <w:rPr/>
        <w:t xml:space="preserve">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pStyle w:val="Normal"/>
      </w:pPr>
      <w:r>
        <w:rPr/>
        <w:t xml:space="preserve">Следовательно, выбор между нашими двумя обществами имеет материальную цену. Во втором часть ресурсов поддерживает возможность альтернатив, которая сегодня может не дать лучшего продукта. Эти средства могли бы ускорить поставку или увеличить текущие выплаты. Их выделение требует общественного основания. Мы не получаем свободу как бесплатный побочный эффект достатка; мы решаем, какую возможность хотим сохранить внутри него.</w:t>
      </w:r>
    </w:p>
    <w:p>
      <w:pPr>
        <w:pStyle w:val="Normal"/>
      </w:pPr>
      <w:r>
        <w:rPr/>
        <w:t xml:space="preserve">Человек вправе не пользоваться ею.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pStyle w:val="Normal"/>
      </w:pPr>
      <w:r>
        <w:rPr/>
        <w:t xml:space="preserve">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pStyle w:val="Normal"/>
      </w:pPr>
      <w:r>
        <w:rPr/>
        <w:t xml:space="preserve">Как они научатся видеть в ней предмет действия — и на какие средства смогут впервые проверить, что она допускает другой замысел?</w:t>
      </w:r>
    </w:p>
    <w:p>
      <w:pPr>
        <w:pStyle w:val="Heading1"/>
      </w:pPr>
      <w:r>
        <w:rPr/>
        <w:t xml:space="preserve">Источники и примечания</w:t>
      </w:r>
    </w:p>
    <w:p>
      <w:pPr>
        <w:pStyle w:val="Note"/>
      </w:pPr>
      <w:bookmarkStart w:id="1" w:name="Note1"/>
      <w:r>
        <w:rPr/>
        <w:t xml:space="preserve">1. </w:t>
      </w:r>
      <w:r>
        <w:rPr/>
        <w:t xml:space="preserve">Philip Pettit. </w:t>
      </w:r>
      <w:hyperlink w:history="1" r:id="link1">
        <w:r>
          <w:rPr>
            <w:i/>
            <w:rStyle w:val="Hyperlink"/>
          </w:rPr>
          <w:t xml:space="preserve">The Determinacy of Republican Policy: A Reply to McMahon</w:t>
        </w:r>
      </w:hyperlink>
      <w:r>
        <w:rPr/>
        <w:t xml:space="preserve">, </w:t>
      </w:r>
      <w:r>
        <w:rPr>
          <w:i/>
        </w:rPr>
        <w:t xml:space="preserve">Philosophy &amp; Public Affairs</w:t>
      </w:r>
      <w:r>
        <w:rPr/>
        <w:t xml:space="preserve"> 34(3), 2006, с. 275–283; с. 276, примечание 4, и раздел II, с. 278–279. Сохранена опора прежней редакции. Это философское различение власти и зависимости; сравнение обществ с сильным ИИ и его хозяйственные следствия — наше условное рассуждение.</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pettit.scholar.princeton.edu/document/1676" TargetMode="External" /></Relationships>
</file>