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12. Кто может изменить правила</w:t>
      </w:r>
    </w:p>
    <w:p>
      <w:pPr>
        <w:pStyle w:val="Subtitle"/>
      </w:pPr>
      <w:r>
        <w:rPr/>
        <w:t xml:space="preserve">Право на решение · версия 7.1</w:t>
      </w:r>
    </w:p>
    <w:p>
      <w:pPr>
        <w:pStyle w:val="Normal"/>
      </w:pPr>
      <w:r>
        <w:rPr/>
        <w:t xml:space="preserve">Отказ может быть совершенно правильным — и обнаруживать непригодность самого правила.</w:t>
      </w:r>
    </w:p>
    <w:p>
      <w:pPr>
        <w:pStyle w:val="Normal"/>
      </w:pPr>
      <w:r>
        <w:rPr/>
        <w:t xml:space="preserve">Представим, что будущие окна приёмного узла распределяются с учётом объёма прежних подтверждённых поставок. Опыт уменьшает неизвестность; надёжный поставщик даёт больше оснований рассчитывать на продолжение. Новая команда проигрывает отбор. Расчёт ей объясняют, независимый проверяющий подтверждает решение. Ошибки нет.</w:t>
      </w:r>
    </w:p>
    <w:p>
      <w:pPr>
        <w:pStyle w:val="Normal"/>
      </w:pPr>
      <w:r>
        <w:rPr/>
        <w:t xml:space="preserve">Но чтобы получить подтверждённую поставку, нужно пройти через узел. Если прежний объём определяет доступ ко всему будущему времени, у новичка никогда не появится требуемое основание. Чем точнее применяется правило, тем надёжнее воспроизводится закрытость. Прозрачность помогает понять, почему человек останется снаружи.</w:t>
      </w:r>
    </w:p>
    <w:p>
      <w:pPr>
        <w:pStyle w:val="Normal"/>
      </w:pPr>
      <w:r>
        <w:rPr/>
        <w:t xml:space="preserve">Обжалование такого отказа может быть бесполезно именно потому, что процедура работает хорошо. Жалоба требует показать неправильное применение нормы. Здесь требуется другое действие: признать применение правильным и изменить норму.</w:t>
      </w:r>
    </w:p>
    <w:p>
      <w:pPr>
        <w:pStyle w:val="Normal"/>
      </w:pPr>
      <w:r>
        <w:rPr/>
        <w:t xml:space="preserve">Это условный пример следующего распределения мощности. Уже обещанные окна не пересматриваются, профессиональные требования остаются. Предмет спора — ещё не связанное обязательствами будущее, а не право отменить вчерашнюю поставку ради сегодняшнего убедительного довода.</w:t>
      </w:r>
    </w:p>
    <w:p>
      <w:pPr>
        <w:pStyle w:val="Normal"/>
      </w:pPr>
      <w:r>
        <w:rPr/>
        <w:t xml:space="preserve">При этом нельзя одним голосованием заменить все виды полномочий. Оператор управляет безопасной операцией и останавливает её при нарушении согласованных условий. Независимый разбор оценивает применение правил. Затронутые стороны получают путь к изменению самого порядка распределения. Техническая компетентность даёт основания по одному вопросу, но не право бессрочно определять все цели общей деятельности.</w:t>
      </w:r>
    </w:p>
    <w:p>
      <w:pPr>
        <w:pStyle w:val="Normal"/>
      </w:pPr>
      <w:r>
        <w:rPr/>
        <w:t xml:space="preserve">Разница между решением внутри порядка и изменением порядка видна в кейсе Егора Давыдова «Два адмирала и один флот». Автор описывает двух промышленных партнёров, одновременно участвовавших во множестве строительных проектов. Независимого подтверждения обстоятельств у нас нет; разберём устройство конфликта по представленному описанию.</w:t>
      </w:r>
      <w:hyperlink w:anchor="Note1" w:history="1">
        <w:r>
          <w:rPr>
            <w:rStyle w:val="Hyperlink"/>
          </w:rPr>
          <w:t xml:space="preserve">[1]</w:t>
        </w:r>
      </w:hyperlink>
    </w:p>
    <w:p>
      <w:pPr>
        <w:pStyle w:val="Normal"/>
      </w:pPr>
      <w:r>
        <w:rPr/>
        <w:t xml:space="preserve">Одна сторона придавала большее значение инженерной надёжности, другая — стоимости и достаточности решения для будущей эксплуатации. Обе располагали профессиональными основаниями. На стыках работ возникали вопросы, по которым требовалось совместное решение. Дополнительные расчёты позволяли каждой стороне убедительнее защищать свой выбор, но не приближали согласие о том, сколько надёжности покупать и за чей счёт.</w:t>
      </w:r>
    </w:p>
    <w:p>
      <w:pPr>
        <w:pStyle w:val="Normal"/>
      </w:pPr>
      <w:r>
        <w:rPr/>
        <w:t xml:space="preserve">Сначала искали более удобный способ согласовывать решения. Поворот произошёл, когда поставили под вопрос саму необходимость согласовывать их в таком количестве. Перестройка дала партнёрам больше самостоятельной ответственности и уменьшила число решений, для которых требовалось взаимное одобрение. Они получили возможность продолжить работу, сохраняя различия в подходах.</w:t>
      </w:r>
    </w:p>
    <w:p>
      <w:pPr>
        <w:pStyle w:val="Normal"/>
      </w:pPr>
      <w:r>
        <w:rPr/>
        <w:t xml:space="preserve">Исход не позволяет объявить одну сторону безусловно правой. По описанию Давыдова, преимущество второй компании на отдельном объекте не повторилось на остальных: там её результаты были хуже или сопоставимы с результатами первой. Конфликт ослаб, стороны выиграли время, однако партнёрство впоследствии прекратилось. Изменение устройства помогло действовать; окончательного ответа о наилучшем способе строительства оно не дало.</w:t>
      </w:r>
    </w:p>
    <w:p>
      <w:pPr>
        <w:pStyle w:val="Normal"/>
      </w:pPr>
      <w:r>
        <w:rPr/>
        <w:t xml:space="preserve">Для нашего вопроса существенно, что новая возможность появилась без предварительного согласия о каждом техническом выборе. Участникам стало нужно меньше взаимных разрешений. Это уточняет смысл соавторства: постоянное совместное обсуждение способно отнимать именно ту самостоятельность, ради которой его вводят.</w:t>
      </w:r>
    </w:p>
    <w:p>
      <w:pPr>
        <w:pStyle w:val="Normal"/>
      </w:pPr>
      <w:r>
        <w:rPr/>
        <w:t xml:space="preserve">Но из этого не следует, что одному участнику надо передать всю власть. Самостоятельное решение в определённой области совместимо с соавторством, когда границы области согласованы, ответственность понятна, а распределение полномочий доступно пересмотру. Это наш вывод из разбора, а не установленное описание всех прав сторон в том партнёрстве.</w:t>
      </w:r>
    </w:p>
    <w:p>
      <w:pPr>
        <w:pStyle w:val="Normal"/>
      </w:pPr>
      <w:r>
        <w:rPr/>
        <w:t xml:space="preserve">Более сильный ИИ мог бы предложить дополнительные варианты и помочь сравнить последствия. Однако точность расчёта сама по себе не устанавливает допустимый риск и не назначает того, кто оплатит дополнительную надёжность. Эти основания должны войти в поручение. Если прежнее поручение блокирует работу, предметом решения становится оно само.</w:t>
      </w:r>
    </w:p>
    <w:p>
      <w:pPr>
        <w:pStyle w:val="Normal"/>
      </w:pPr>
      <w:r>
        <w:rPr/>
        <w:t xml:space="preserve">Кейс показывает изменение организации деятельности; роста способности участников учиться он не устанавливает. Образовательный вопрос начинается дальше: как человек замечает, что дополнительного знания о задаче уже мало и пора исследовать устройство самой работы? Для этого нужно уметь не только обосновать свой вариант, но и увидеть, почему другим приходится его согласовывать, какие решения можно разделить и где общая ответственность сохраняется.</w:t>
      </w:r>
    </w:p>
    <w:p>
      <w:pPr>
        <w:pStyle w:val="Normal"/>
      </w:pPr>
      <w:r>
        <w:rPr/>
        <w:t xml:space="preserve">Вернёмся к приёмному узлу. Отдельные производственные звенья могут самостоятельно выбирать способы работы при общих требованиях к совместимости, безопасности и ответственности. Согласование каждого изменения всеми не обязательно. Но автономия нынешних участников ещё не открывает путь следующим. Действующим поставщикам незачем отдавать часть времени тем, кого пока нет внутри. Их единогласие может быть добросовестным: они вложились в узел и поддерживают оборудование. Работающий коллектив способен управлять собой и препятствовать появлению другого коллектива.</w:t>
      </w:r>
    </w:p>
    <w:p>
      <w:pPr>
        <w:pStyle w:val="Normal"/>
      </w:pPr>
      <w:r>
        <w:rPr/>
        <w:t xml:space="preserve">Исследования Элинор Остром помогают не сводить управление общими ресурсами к одной форме собственности. В переработанном черновике Нобелевской лекции она отмечает разнообразие конкретных правил; среди более общих характеристик устойчивых устройств рассматривает участие затронутых пользователей в изменении норм, подотчётное наблюдение и доступное разрешение конфликтов.</w:t>
      </w:r>
      <w:hyperlink w:anchor="Note2" w:history="1">
        <w:r>
          <w:rPr>
            <w:rStyle w:val="Hyperlink"/>
          </w:rPr>
          <w:t xml:space="preserve">[2]</w:t>
        </w:r>
      </w:hyperlink>
      <w:r>
        <w:rPr/>
        <w:t xml:space="preserve"> В нашем вопросе требуется ещё один шаг: кто представляет интерес людей, которые не стали пользователями именно из-за действующего порядка?</w:t>
      </w:r>
    </w:p>
    <w:p>
      <w:pPr>
        <w:pStyle w:val="Normal"/>
      </w:pPr>
      <w:r>
        <w:rPr/>
        <w:t xml:space="preserve">Такое основание может возникнуть ещё при финансировании. Покупатели, оплатившие расширение выбора, заинтересованы в том, чтобы новые поставщики действительно появлялись. Публичная программа, вложившая средства ради доступной деятельности, вправе требовать соответствующего использования. Внешние команды могут объединить свои запросы и показать, что барьер повторяется. Это возможные носители пересмотра, а не один назначенный благодетель новичков.</w:t>
      </w:r>
    </w:p>
    <w:p>
      <w:pPr>
        <w:pStyle w:val="Normal"/>
      </w:pPr>
      <w:r>
        <w:rPr/>
        <w:t xml:space="preserve">Каждый способен и изменить сторону. Покупатель, заключивший выгодный долгий договор, может утратить интерес к конкуренции. Первые внешние команды, получив места, — поддержать закрытие следующих. Поэтому право пересмотра должно пережить перемену интересов тех, кто однажды его создал.</w:t>
      </w:r>
    </w:p>
    <w:p>
      <w:pPr>
        <w:pStyle w:val="Normal"/>
      </w:pPr>
      <w:r>
        <w:rPr/>
        <w:t xml:space="preserve">Для нашего узла возможен конкретный выбор: предусмотреть часть ещё не распределённой мощности для испытания новых поставщиков. Придётся оплатить подготовку, работу оператора и проверку, отказавшись от части других полезных операций. Размер нельзя выбрать по привлекательности круглого процента. Иногда дешевле испытать новый способ на другом оборудовании; иногда понадобится расширение узла. Если никакой путь не помещается в доступные средства, это ограничение надо признать. Требование пересмотра не создаёт отсутствующей мощности.</w:t>
      </w:r>
    </w:p>
    <w:p>
      <w:pPr>
        <w:pStyle w:val="Normal"/>
      </w:pPr>
      <w:r>
        <w:rPr/>
        <w:t xml:space="preserve">Но спор уже изменился. Стороны обсуждают цену приобретения опыта новым участником, а не требуют от него опыт как предварительное условие любой пробы. Образовательная возможность становится частью решения об инфраструктуре. Вход перестаёт зависеть исключительно от редкого приглашения владельца.</w:t>
      </w:r>
    </w:p>
    <w:p>
      <w:pPr>
        <w:pStyle w:val="Normal"/>
      </w:pPr>
      <w:r>
        <w:rPr/>
        <w:t xml:space="preserve">Чтобы предложить изменение, нужны сведения: фактическая загрузка, расходы, повторяющиеся основания отказов. Отдельные данные могут быть закрыты интересами партнёров. Тогда необходим способ проверить значимое основание без раскрытия всего массива. Если любая закрытая деталь делает непроверяемым весь порядок, конфиденциальность становится властью над повесткой.</w:t>
      </w:r>
    </w:p>
    <w:p>
      <w:pPr>
        <w:pStyle w:val="Normal"/>
      </w:pPr>
      <w:r>
        <w:rPr/>
        <w:t xml:space="preserve">Образование помогает собрать проверяемое предложение, оценить цену и найти союзников. Если же учить только успешному заполнению заявок, школа будет воспроизводить хороших пользователей того же закрытого правила.</w:t>
      </w:r>
    </w:p>
    <w:p>
      <w:pPr>
        <w:pStyle w:val="Normal"/>
      </w:pPr>
      <w:r>
        <w:rPr/>
        <w:t xml:space="preserve">Общественное право возражать при этом не выдаётся за окончание курса. Не подготовленный к технической операции человек сохраняет право говорить о её последствиях для него и о назначении общих средств. Ему может понадобиться помощь в разборе, представительство или длительное делегирование. Самостоятельность не обязывает ежедневно участвовать в заседаниях.</w:t>
      </w:r>
    </w:p>
    <w:p>
      <w:pPr>
        <w:pStyle w:val="Normal"/>
      </w:pPr>
      <w:r>
        <w:rPr/>
        <w:t xml:space="preserve">И обсуждение тоже требует границ. Новое обращение не может бесконечно останавливать всякую работу. Срок рассмотрения, существенное основание повторного запроса и временное решение при необходимости продолжать — части предлагаемого устройства. Их можно оспаривать, но общая возможность действовать должна сохраниться и во время спора.</w:t>
      </w:r>
    </w:p>
    <w:p>
      <w:pPr>
        <w:pStyle w:val="Normal"/>
      </w:pPr>
      <w:r>
        <w:rPr/>
        <w:t xml:space="preserve">Право на решение теперь включает влияние на то, какие решения участник обязан согласовывать и как можно изменить сам этот круг. Для новичка это возможность пересмотреть устройство, в котором места ему ещё не было. Но она не делает его готовым лично выполнить любую техническую операцию. Передача такого действия требует другого основания доверия.</w:t>
      </w:r>
    </w:p>
    <w:p>
      <w:pPr>
        <w:pStyle w:val="Heading1"/>
      </w:pPr>
      <w:r>
        <w:rPr/>
        <w:t xml:space="preserve">Источники и примечания</w:t>
      </w:r>
    </w:p>
    <w:p>
      <w:pPr>
        <w:pStyle w:val="Note"/>
      </w:pPr>
      <w:bookmarkStart w:id="1" w:name="Note1"/>
      <w:r>
        <w:rPr/>
        <w:t xml:space="preserve">1. </w:t>
      </w:r>
      <w:r>
        <w:rPr/>
        <w:t xml:space="preserve">Егор Давыдов. </w:t>
      </w:r>
      <w:r>
        <w:rPr>
          <w:i/>
        </w:rPr>
        <w:t xml:space="preserve">Два адмирала и один флот</w:t>
      </w:r>
      <w:r>
        <w:rPr/>
        <w:t xml:space="preserve">. Предоставленный пользователем PDF, 9 страниц; дата авторской редакции не установлена. Библиотека проекта: источник 49. PDF-с. 2–6: совместное участие в строительстве, различие критериев, затруднение согласования, перестройка и ограниченный исход. Авторство указано пользователем 6 сентября 2026 года; тогда же прочитан файл. Обстоятельства независимо не подтверждены. Условная пятикратная разница стоимости, реконструированные мысли и речь в главу не перенесены. Предположения исходника об ответе ИИ не считаются проведённым опытом. Сведения о росте способности учиться и полном распределении последствий между затронутыми сторонами отсутствуют.</w:t>
      </w:r>
      <w:bookmarkEnd w:id="1"/>
    </w:p>
    <w:p>
      <w:pPr>
        <w:pStyle w:val="Note"/>
      </w:pPr>
      <w:bookmarkStart w:id="2" w:name="Note2"/>
      <w:r>
        <w:rPr/>
        <w:t xml:space="preserve">2. </w:t>
      </w:r>
      <w:r>
        <w:rPr/>
        <w:t xml:space="preserve">Elinor Ostrom, </w:t>
      </w:r>
      <w:hyperlink w:history="1" r:id="link1">
        <w:r>
          <w:rPr>
            <w:i/>
            <w:rStyle w:val="Hyperlink"/>
          </w:rPr>
          <w:t xml:space="preserve">Beyond Markets and States: Polycentric Governance of Complex Economic Systems</w:t>
        </w:r>
      </w:hyperlink>
      <w:r>
        <w:rPr/>
        <w:t xml:space="preserve">, revised draft Нобелевской лекции 8 декабря 2009 года, §4E, печатные с.12–13, начало §5, с.14. Ограниченный пересказ прочитанного черновика; финальная статья </w:t>
      </w:r>
      <w:r>
        <w:rPr>
          <w:i/>
        </w:rPr>
        <w:t xml:space="preserve">American Economic Review</w:t>
      </w:r>
      <w:r>
        <w:rPr/>
        <w:t xml:space="preserve"> 2010 года не выдаётся за тот же проверенный файл. Исследование общих ресурсов не подтверждает работоспособности предлагаемого космического режима.</w:t>
      </w:r>
      <w:bookmarkEnd w:id="2"/>
    </w:p>
    <w:p>
      <w:pPr>
        <w:pStyle w:val="Note"/>
      </w:pPr>
      <w:r>
        <w:rPr/>
        <w:t xml:space="preserve">Приоритет прежних поставок, самостоятельность звеньев в согласованных пределах и способы изменения доступа — проектные условия мысленного эксперимента. Новая коалиция, оплаченные испытания и открытый вход не объявлены состоявшимися. Сохранение профессиональной безопасности и прежних договоров входит в сравнение вариантов.</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dlc.dlib.indiana.edu/dlc/bitstreams/0a7a52e6-8cf0-42c3-ae20-776095e6fd1d/download" TargetMode="External" /></Relationships>
</file>