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pPr>
      <w:r>
        <w:rPr/>
        <w:t xml:space="preserve">Глава 14. Кто выбирает ваше развитие</w:t>
      </w:r>
    </w:p>
    <w:p>
      <w:pPr>
        <w:pStyle w:val="Subtitle"/>
      </w:pPr>
      <w:r>
        <w:rPr/>
        <w:t xml:space="preserve">Право на решение · версия 7.1</w:t>
      </w:r>
    </w:p>
    <w:p>
      <w:pPr>
        <w:pStyle w:val="Normal"/>
      </w:pPr>
      <w:r>
        <w:rPr/>
        <w:t xml:space="preserve">Хорошая помощь может изменить то, чего человек хочет.</w:t>
      </w:r>
    </w:p>
    <w:p>
      <w:pPr>
        <w:pStyle w:val="Normal"/>
      </w:pPr>
      <w:r>
        <w:rPr/>
        <w:t xml:space="preserve">До знакомства с предметом он не знал, что вопрос существует. После нескольких проб начал различать в нём трудность, увидел собственную возможность и захотел продолжать. Наставник помог ему найти интерес, которого прежде не было. Было бы странно считать такое изменение утратой свободы.</w:t>
      </w:r>
    </w:p>
    <w:p>
      <w:pPr>
        <w:pStyle w:val="Normal"/>
      </w:pPr>
      <w:r>
        <w:rPr/>
        <w:t xml:space="preserve">Но представим, что тот же наставник получает все задачи от одной организации, оценивает успех по её потребностям и открывает только полезные ей продолжения. Человек действительно увлечён. Его желание не поддельное. И всё же выбор будущего постепенно принимает форму чужого заказа.</w:t>
      </w:r>
    </w:p>
    <w:p>
      <w:pPr>
        <w:pStyle w:val="Normal"/>
      </w:pPr>
      <w:r>
        <w:rPr/>
        <w:t xml:space="preserve">Различие нельзя обнаружить одним вопросом, доволен ли участник. Довольство возможно в обоих случаях. Нельзя решить его и требованием выбирать до всякой помощи: новичок ещё не знает достаточно, чтобы сравнить направления. Свобода развития нуждается во влиянии, которое открывает возможное, и в способности пересматривать само это влияние.</w:t>
      </w:r>
    </w:p>
    <w:p>
      <w:pPr>
        <w:pStyle w:val="Normal"/>
      </w:pPr>
      <w:r>
        <w:rPr/>
        <w:t xml:space="preserve">Отсюда иной предмет заботы. Помощь должна позволять человеку не только лучше действовать внутри предложенной цели, но и добраться до других целей. Это могут быть иная форма объяснения, другой наставник, знакомство с областью без обещания сделать её профессией. Иногда достаточно одного вопроса, который не помещается в текущий план.</w:t>
      </w:r>
    </w:p>
    <w:p>
      <w:pPr>
        <w:pStyle w:val="Normal"/>
      </w:pPr>
      <w:r>
        <w:rPr/>
        <w:t xml:space="preserve">У Пейперта и Харел есть точное ограничение педагогического притязания: пригодность способа обучения для некоторых ещё не означает, что он лучше для всех. Авторы связывают это различие с интеллектуальными предпочтениями.</w:t>
      </w:r>
      <w:hyperlink w:anchor="Note1" w:history="1">
        <w:r>
          <w:rPr>
            <w:rStyle w:val="Hyperlink"/>
          </w:rPr>
          <w:t xml:space="preserve">[1]</w:t>
        </w:r>
      </w:hyperlink>
      <w:r>
        <w:rPr/>
        <w:t xml:space="preserve"> Даже удачная инженерная школа не получает права определить единственную достойную форму становления. Работа над полезным предметом, фундаментальный разбор и долгое исследование без готового продукта могут требовать разных сред.</w:t>
      </w:r>
    </w:p>
    <w:p>
      <w:pPr>
        <w:pStyle w:val="Normal"/>
      </w:pPr>
      <w:r>
        <w:rPr/>
        <w:t xml:space="preserve">Мы поэтому не предлагаем найти совершенного наставника, у которого не будет собственной позиции. Он вправе рекомендовать, настаивать на понимании трудного места, показывать слабость выбора. Участник вправе надолго довериться ему. Важна возможность вернуться к основанию поручения: для чего сейчас нужна помощь и что произошло, когда сама цель изменилась.</w:t>
      </w:r>
    </w:p>
    <w:p>
      <w:pPr>
        <w:pStyle w:val="Normal"/>
      </w:pPr>
      <w:r>
        <w:rPr/>
        <w:t xml:space="preserve">Первоначальное согласие на подготовку к определённой работе не является бессрочным согласием на управление всем развитием. Но и ежедневное подозрение к каждой рекомендации не делает человека самостоятельнее. Отношение должно выдерживать и доверие, и содержательный пересмотр, не требуя постоянного непослушания для доказательства свободы.</w:t>
      </w:r>
    </w:p>
    <w:p>
      <w:pPr>
        <w:pStyle w:val="Normal"/>
      </w:pPr>
      <w:r>
        <w:rPr/>
        <w:t xml:space="preserve">Граница помощи особенно трудна, когда опасность реальна. В кейсе Егора Давыдова «Цена спасения» описан кризис компании наземного обслуживания: загрузка резко упала, около четырёх пятых расходов приходилось на оплату труда. Это сведения предоставленного описания, независимо не подтверждённые. Рассмотрим поставленную в нём управленческую дилемму.</w:t>
      </w:r>
      <w:hyperlink w:anchor="Note2" w:history="1">
        <w:r>
          <w:rPr>
            <w:rStyle w:val="Hyperlink"/>
          </w:rPr>
          <w:t xml:space="preserve">[2]</w:t>
        </w:r>
      </w:hyperlink>
    </w:p>
    <w:p>
      <w:pPr>
        <w:pStyle w:val="Normal"/>
      </w:pPr>
      <w:r>
        <w:rPr/>
        <w:t xml:space="preserve">Быстрое сокращение людей угрожало утратой способности обслуживать будущую работу. Переговоры могли привести к трудовому конфликту, получение денег требовало времени. Открытое решение не имело гарантированного успеха. Но в распоряжении руководства находился и другой инструмент: часть выплат зависела от общего объёма обработанного багажа, который отдельный работник не мог проверить.</w:t>
      </w:r>
    </w:p>
    <w:p>
      <w:pPr>
        <w:pStyle w:val="Normal"/>
      </w:pPr>
      <w:r>
        <w:rPr/>
        <w:t xml:space="preserve">Занижение этого показателя позволяло уменьшить оплату, не объявляя сотрудникам размер принятой за них потери. В описанном механизме менялась не открыто согласованная цена будущей работы, а информация об уже выполненной. Источник связывает выбор инструмента с необходимостью немедленно сократить расходы; он не устанавливает, что именно эта мера спасла компанию или была единственным осуществимым вариантом.</w:t>
      </w:r>
    </w:p>
    <w:p>
      <w:pPr>
        <w:pStyle w:val="Normal"/>
      </w:pPr>
      <w:r>
        <w:rPr/>
        <w:t xml:space="preserve">Работники в таком устройстве несут часть цены сохранения предприятия, не участвуя в определении этой цены. Так мы интерпретируем описанный механизм. Здесь соединяются две формы власти: распределить потери и определить сведения, по которым человек узнает о своей доле. Угроза делу могла быть серьёзной; она сама по себе не передавала руководителю неограниченных полномочий над обеими сторонами решения.</w:t>
      </w:r>
    </w:p>
    <w:p>
      <w:pPr>
        <w:pStyle w:val="Normal"/>
      </w:pPr>
      <w:r>
        <w:rPr/>
        <w:t xml:space="preserve">Теперь оставим обстоятельства кейса и усилим условие. Пусть более сильная система действительно знает, как сохранить предприятие, а раскрытие искажения исключено. Её решение даст обещанный полезный результат. Возникает ли у неё от этого право скрыто назначить цену, которую заплатят другие?</w:t>
      </w:r>
    </w:p>
    <w:p>
      <w:pPr>
        <w:pStyle w:val="Normal"/>
      </w:pPr>
      <w:r>
        <w:rPr/>
        <w:t xml:space="preserve">Расчёт полезности сам по себе таких полномочий не создаёт. Люди могли доверить системе управление расходами, не предоставляя права изменять сведения об уже выполненной работе. Срочное управление возможно в заранее согласованных пределах; оно не требует опроса всех по каждому действию. Но чрезвычайное положение не позволяет помогающему незаметно расширить поручение только потому, что он лучше понимает последствия.</w:t>
      </w:r>
    </w:p>
    <w:p>
      <w:pPr>
        <w:pStyle w:val="Normal"/>
      </w:pPr>
      <w:r>
        <w:rPr/>
        <w:t xml:space="preserve">Для развития человека это означает больше, чем доступ к хорошему объяснению. Помощник может безупречно разобрать расчёт по тем данным, которые ему открыли. Если исходные сведения контролирует единственный распорядитель, человек останется без возможности проверить основание. Дело не обязательно в недостатке его знаний. Нужны достоверные сведения и независимый способ их проверки.</w:t>
      </w:r>
    </w:p>
    <w:p>
      <w:pPr>
        <w:pStyle w:val="Normal"/>
      </w:pPr>
      <w:r>
        <w:rPr/>
        <w:t xml:space="preserve">Организация вправе оплачивать подготовку к определённой работе. Из этого не следует, что только полезное ей направление отвечает развитию участника. Отказ в другой пробе может быть вызван ограниченным бюджетом; его нельзя превращать в диагноз незрелого желания. Сильный ИИ способен и поддерживать эту подмену, и помогать её обнаружить — в зависимости от поручения и доступов. Образование должно дать человеку возможность разбирать, кому служит помощь и где заканчивается власть помогающего; ни этот кейс, ни хороший курс сами по себе такого результата не подтверждают.</w:t>
      </w:r>
    </w:p>
    <w:p>
      <w:pPr>
        <w:pStyle w:val="Normal"/>
      </w:pPr>
      <w:r>
        <w:rPr/>
        <w:t xml:space="preserve">Самостоятельная проверка нужна и при смене образовательного пути. Каталога программ для перехода мало. Если прежние результаты нигде не признаются, смена направления становится возвратом к началу. Если вся история попыток доступна единственному распорядителю, другой наставник получает только выставленный им итог. Переносимые материалы, независимое суждение и время для пробы дают альтернативе содержание.</w:t>
      </w:r>
    </w:p>
    <w:p>
      <w:pPr>
        <w:pStyle w:val="Normal"/>
      </w:pPr>
      <w:r>
        <w:rPr/>
        <w:t xml:space="preserve">Не всё при этом должно находиться в одной организации. Иногда свободу обеспечивает переход между несколькими хорошими, но ограниченными средами. Одна отвечает за теорию, другая даёт доступ к исследованию, третья позволяет применить результат. Их различие полезно именно потому, что ни одна не охватывает человека полностью.</w:t>
      </w:r>
    </w:p>
    <w:p>
      <w:pPr>
        <w:pStyle w:val="Normal"/>
      </w:pPr>
      <w:r>
        <w:rPr/>
        <w:t xml:space="preserve">У такой возможности есть стоимость: время, поддержка, иногда отказ от ближайшего производственного результата. Но требовать заранее доказанную пользу незнакомого направления — значит разрешать исследовать только то, ценность чего уже установлена. Можно ограничить размер пробы, сохранив право ещё не знать, к чему она приведёт.</w:t>
      </w:r>
    </w:p>
    <w:p>
      <w:pPr>
        <w:pStyle w:val="Normal"/>
      </w:pPr>
      <w:r>
        <w:rPr/>
        <w:t xml:space="preserve">Человек может после неё остаться там, где начал. Возможно, первоначальная рекомендация была подходящей. Свобода не измеряется числом ушедших. Доступная альтернатива меняет и смысл решения остаться: теперь оно выдержало сравнение и может измениться по новому основанию.</w:t>
      </w:r>
    </w:p>
    <w:p>
      <w:pPr>
        <w:pStyle w:val="Normal"/>
      </w:pPr>
      <w:r>
        <w:rPr/>
        <w:t xml:space="preserve">Может сохраниться и постоянная потребность в помощи. Самостоятельность не требует однажды перестать нуждаться в людях и инструментах. При ограничениях здоровья, сложном предмете или выбранном способе работы поддержка может оставаться частью деятельности. Вопрос в том, имеет ли человек влияние на её условия и собственную роль. Норма обязательной полной независимости сама исключила бы многих из обещанного будущего.</w:t>
      </w:r>
    </w:p>
    <w:p>
      <w:pPr>
        <w:pStyle w:val="Normal"/>
      </w:pPr>
      <w:r>
        <w:rPr/>
        <w:t xml:space="preserve">Граница наставничества обнаруживается не в момент, когда ученик перестаёт слушаться. Она проходит там, где его новый вопрос признают достаточным основанием пересмотреть прежнее предложение. Наставник может возразить по существу. Может показать риск, ошибку или несостоятельность метода. Но сам факт иного направления не является дефектом развития.</w:t>
      </w:r>
    </w:p>
    <w:p>
      <w:pPr>
        <w:pStyle w:val="Normal"/>
      </w:pPr>
      <w:r>
        <w:rPr/>
        <w:t xml:space="preserve">Возможно, следующим выбором станет пауза. Ни другая профессия, ни ещё более сложный проект — просто прекращение этой последовательности. Чтобы такой ответ был возможен всерьёз, свобода должна выдержать обычные расходы жизни.</w:t>
      </w:r>
    </w:p>
    <w:p>
      <w:pPr>
        <w:pStyle w:val="Heading1"/>
      </w:pPr>
      <w:r>
        <w:rPr/>
        <w:t xml:space="preserve">Источники и примечания</w:t>
      </w:r>
    </w:p>
    <w:p>
      <w:pPr>
        <w:pStyle w:val="Note"/>
      </w:pPr>
      <w:bookmarkStart w:id="1" w:name="Note1"/>
      <w:r>
        <w:rPr/>
        <w:t xml:space="preserve">1. </w:t>
      </w:r>
      <w:r>
        <w:rPr/>
        <w:t xml:space="preserve">Seymour Papert, Idit Harel, </w:t>
      </w:r>
      <w:hyperlink w:history="1" r:id="link1">
        <w:r>
          <w:rPr>
            <w:i/>
            <w:rStyle w:val="Hyperlink"/>
          </w:rPr>
          <w:t xml:space="preserve">Situating Constructionism</w:t>
        </w:r>
      </w:hyperlink>
      <w:r>
        <w:rPr/>
        <w:t xml:space="preserve">, 1991, с.2: различение пригодности подхода для некоторых и для всех, обсуждение интеллектуальных предпочтений. Это позиция авторов, а не эмпирическое подтверждение предложенной здесь среды с сильным ИИ.</w:t>
      </w:r>
      <w:bookmarkEnd w:id="1"/>
    </w:p>
    <w:p>
      <w:pPr>
        <w:pStyle w:val="Note"/>
      </w:pPr>
      <w:bookmarkStart w:id="2" w:name="Note2"/>
      <w:r>
        <w:rPr/>
        <w:t xml:space="preserve">2. </w:t>
      </w:r>
      <w:r>
        <w:rPr/>
        <w:t xml:space="preserve">Егор Давыдов. </w:t>
      </w:r>
      <w:r>
        <w:rPr>
          <w:i/>
        </w:rPr>
        <w:t xml:space="preserve">Цена спасения. Кейс «Аэропорт»</w:t>
      </w:r>
      <w:r>
        <w:rPr/>
        <w:t xml:space="preserve">. Предоставленный пользователем PDF, 17 страниц; дата авторской редакции не установлена. Библиотека проекта: источник 50. PDF-с. 3–5: финансовое положение, доля оплаты труда, ограничения альтернатив и показатель объёма багажа; PDF-с. 9: различие условий оплаты и данных о выполненной работе; PDF-с. 15: постановка вопроса о цене для других. Авторство указано пользователем 6 сентября 2026 года; тогда же прочитан файл. Происхождение свидетельства и обстоятельства независимо не подтверждены. Число 80% относится только к компании в этом описании. Из него не следует доказанное спасение предприятия, неизбежность выбранного действия или общая характеристика аэропортовых сервисов. Воображаемый вечер, внутренние переживания и предположенный ответ ИИ не перенесены как факты. Условие гарантированного полезного результата без раскрытия — отдельный мысленный эксперимент книги, а не событие кейса.</w:t>
      </w:r>
      <w:bookmarkEnd w:id="2"/>
    </w:p>
    <w:p>
      <w:pPr>
        <w:pStyle w:val="Note"/>
      </w:pPr>
      <w:r>
        <w:rPr/>
        <w:t xml:space="preserve">Рассуждение о наставничестве описывает возможные отношения и нормативные границы. Оно не приписывает универсальных мотивов наставникам и не выдаёт предполагаемые переживания за наблюдения пилота.</w:t>
      </w:r>
    </w:p>
    <w:sectPr>
      <w:footerReference w:type="default" r:id="footer"/>
      <w:pgSz w:w="11906" w:h="16838"/>
      <w:pgMar w:top="1276" w:right="1361" w:bottom="1276" w:left="1361" w:header="567" w:footer="567" w:gutter="0"/>
    </w:sectPr>
  </w:body>
</w:document>
</file>

<file path=word/footer1.xml><?xml version="1.0" encoding="utf-8"?>
<w:ftr xmlns:w="http://schemas.openxmlformats.org/wordprocessingml/2006/main">
  <w:p>
    <w:pPr>
      <w:jc w:val="center"/>
    </w:pPr>
    <w:fldSimple w:instr="PAGE">
      <w:r>
        <w:t>1</w:t>
      </w:r>
    </w:fldSimple>
  </w:p>
</w:ftr>
</file>

<file path=word/styles.xml><?xml version="1.0" encoding="utf-8"?>
<w:styles xmlns:w="http://schemas.openxmlformats.org/wordprocessingml/2006/main">
  <w:docDefaults>
    <w:rPrDefault>
      <w:rPr>
        <w:rFonts w:ascii="Georgia" w:hAnsi="Georgia" w:cs="Georgia"/>
        <w:sz w:val="24"/>
        <w:lang w:val="ru-RU"/>
      </w:rPr>
    </w:rPrDefault>
  </w:docDefaults>
  <w:style w:type="paragraph" w:styleId="Normal" w:default="1">
    <w:name w:val="Normal"/>
    <w:pPr>
      <w:spacing w:before="0" w:after="120" w:line="312" w:lineRule="auto"/>
      <w:widowControl/>
    </w:pPr>
    <w:rPr>
      <w:sz w:val="24"/>
    </w:rPr>
  </w:style>
  <w:style w:type="paragraph" w:styleId="Title">
    <w:name w:val="Title"/>
    <w:pPr>
      <w:spacing w:before="0" w:after="240" w:line="312" w:lineRule="auto"/>
      <w:widowControl/>
      <w:keepNext/>
    </w:pPr>
    <w:rPr>
      <w:sz w:val="40"/>
      <w:b/>
    </w:rPr>
  </w:style>
  <w:style w:type="paragraph" w:styleId="Subtitle">
    <w:name w:val="Subtitle"/>
    <w:pPr>
      <w:spacing w:before="0" w:after="480" w:line="312" w:lineRule="auto"/>
      <w:widowControl/>
      <w:keepNext/>
    </w:pPr>
    <w:rPr>
      <w:sz w:val="20"/>
      <w:color w:val="666666"/>
    </w:rPr>
  </w:style>
  <w:style w:type="paragraph" w:styleId="Heading1">
    <w:name w:val="Heading1"/>
    <w:pPr>
      <w:spacing w:before="360" w:after="180" w:line="312" w:lineRule="auto"/>
      <w:widowControl/>
      <w:keepNext/>
      <w:outlineLvl w:val="0"/>
    </w:pPr>
    <w:rPr>
      <w:sz w:val="30"/>
      <w:b/>
    </w:rPr>
  </w:style>
  <w:style w:type="paragraph" w:styleId="Heading2">
    <w:name w:val="Heading2"/>
    <w:pPr>
      <w:spacing w:before="280" w:after="150" w:line="312" w:lineRule="auto"/>
      <w:widowControl/>
      <w:keepNext/>
      <w:outlineLvl w:val="1"/>
    </w:pPr>
    <w:rPr>
      <w:sz w:val="26"/>
      <w:b/>
    </w:rPr>
  </w:style>
  <w:style w:type="paragraph" w:styleId="Separator">
    <w:name w:val="Separator"/>
    <w:pPr>
      <w:spacing w:before="150" w:after="200" w:line="312" w:lineRule="auto"/>
      <w:widowControl/>
      <w:jc w:val="center"/>
    </w:pPr>
    <w:rPr>
      <w:sz w:val="24"/>
    </w:rPr>
  </w:style>
  <w:style w:type="character" w:styleId="Hyperlink">
    <w:name w:val="Hyperlink"/>
    <w:rPr>
      <w:color w:val="315D82"/>
      <w:u w:val="single"/>
    </w:rPr>
  </w:style>
  <w:style w:type="paragraph" w:styleId="Note">
    <w:basedOn w:val="Normal"/>
    <w:rPr>
      <w:sz w:val="20"/>
    </w:rPr>
  </w:style>
</w:styles>
</file>

<file path=word/_rels/document.xml.rels><?xml version='1.0' encoding='utf-8'?>
<Relationships xmlns="http://schemas.openxmlformats.org/package/2006/relationships"><Relationship Id="styles" Type="http://schemas.openxmlformats.org/officeDocument/2006/relationships/styles" Target="styles.xml" /><Relationship Id="footer" Type="http://schemas.openxmlformats.org/officeDocument/2006/relationships/footer" Target="footer1.xml" /><Relationship Id="link1" Type="http://schemas.openxmlformats.org/officeDocument/2006/relationships/hyperlink" Target="https://pirun.ku.ac.th/~btun/papert/sitcons.pdf" TargetMode="External" /></Relationships>
</file>