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17. Когда ИИ становится сильнее нашего решения</w:t>
      </w:r>
    </w:p>
    <w:p>
      <w:pPr>
        <w:pStyle w:val="Subtitle"/>
      </w:pPr>
      <w:r>
        <w:rPr/>
        <w:t xml:space="preserve">Право на решение · версия 7.1</w:t>
      </w:r>
    </w:p>
    <w:p>
      <w:pPr>
        <w:pStyle w:val="Normal"/>
      </w:pPr>
      <w:r>
        <w:rPr/>
        <w:t xml:space="preserve">Пусть следующий ИИ устроит обучение лучше нас.</w:t>
      </w:r>
    </w:p>
    <w:p>
      <w:pPr>
        <w:pStyle w:val="Normal"/>
      </w:pPr>
      <w:r>
        <w:rPr/>
        <w:t xml:space="preserve">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pStyle w:val="Normal"/>
      </w:pPr>
      <w:r>
        <w:rPr/>
        <w:t xml:space="preserve">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pStyle w:val="Normal"/>
      </w:pPr>
      <w:r>
        <w:rPr/>
        <w:t xml:space="preserve">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pStyle w:val="Normal"/>
      </w:pPr>
      <w:r>
        <w:rPr/>
        <w:t xml:space="preserve">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pStyle w:val="Normal"/>
      </w:pPr>
      <w:r>
        <w:rPr/>
        <w:t xml:space="preserve">Теперь изменим другую предпосылку. Она касается не силы ИИ, а конечной программы, ради которой расходуется ресурс.</w:t>
      </w:r>
    </w:p>
    <w:p>
      <w:pPr>
        <w:pStyle w:val="Normal"/>
      </w:pPr>
      <w:r>
        <w:rPr/>
        <w:t xml:space="preserve">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pStyle w:val="Normal"/>
      </w:pPr>
      <w:r>
        <w:rPr/>
        <w:t xml:space="preserve">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pStyle w:val="Normal"/>
      </w:pPr>
      <w:r>
        <w:rPr/>
        <w:t xml:space="preserve">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pStyle w:val="Normal"/>
      </w:pPr>
      <w:r>
        <w:rPr/>
        <w:t xml:space="preserve">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pStyle w:val="Normal"/>
      </w:pPr>
      <w:r>
        <w:rPr/>
        <w:t xml:space="preserve">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1" w:history="1">
        <w:r>
          <w:rPr>
            <w:rStyle w:val="Hyperlink"/>
          </w:rPr>
          <w:t xml:space="preserve">[1]</w:t>
        </w:r>
      </w:hyperlink>
      <w:r>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pStyle w:val="Normal"/>
      </w:pPr>
      <w:r>
        <w:rPr/>
        <w:t xml:space="preserve">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pStyle w:val="Normal"/>
      </w:pPr>
      <w:r>
        <w:rPr/>
        <w:t xml:space="preserve">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pStyle w:val="Normal"/>
      </w:pPr>
      <w:r>
        <w:rPr/>
        <w:t xml:space="preserve">Она может и оттеснить другие замыслы.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pStyle w:val="Normal"/>
      </w:pPr>
      <w:r>
        <w:rPr/>
        <w:t xml:space="preserve">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pStyle w:val="Normal"/>
      </w:pPr>
      <w:r>
        <w:rPr/>
        <w:t xml:space="preserve">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1" w:history="1">
        <w:r>
          <w:rPr>
            <w:rStyle w:val="Hyperlink"/>
          </w:rPr>
          <w:t xml:space="preserve">[1]</w:t>
        </w:r>
      </w:hyperlink>
      <w:hyperlink w:anchor="Note2" w:history="1">
        <w:r>
          <w:rPr>
            <w:rStyle w:val="Hyperlink"/>
          </w:rPr>
          <w:t xml:space="preserve">[2]</w:t>
        </w:r>
      </w:hyperlink>
      <w:r>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pStyle w:val="Normal"/>
      </w:pPr>
      <w:r>
        <w:rPr/>
        <w:t xml:space="preserve">Пока она сохраняет и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3" w:history="1">
        <w:r>
          <w:rPr>
            <w:rStyle w:val="Hyperlink"/>
          </w:rPr>
          <w:t xml:space="preserve">[3]</w:t>
        </w:r>
      </w:hyperlink>
      <w:r>
        <w:rPr/>
        <w:t xml:space="preserve"> В нашей основной ветви существенное оборудование и услуги продолжают поступать с Земли.</w:t>
      </w:r>
    </w:p>
    <w:p>
      <w:pPr>
        <w:pStyle w:val="Normal"/>
      </w:pPr>
      <w:r>
        <w:rPr/>
        <w:t xml:space="preserve">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pStyle w:val="Normal"/>
      </w:pPr>
      <w:r>
        <w:rPr/>
        <w:t xml:space="preserve">Для предельной проверки сделаем ещё один, отдельный шаг: допустим, что цикл воспроизводит достаточно средств для энергии, ремонта и остающихся внешних поставок без необходимой продажи результата людям. Это не вывод из названных источников и не прогноз с датой. Потери, обязательства и внешние последствия сохраняются; меняется необходимость человеческого заказа для продолжения цикла.</w:t>
      </w:r>
    </w:p>
    <w:p>
      <w:pPr>
        <w:pStyle w:val="Normal"/>
      </w:pPr>
      <w:r>
        <w:rPr/>
        <w:t xml:space="preserve">При таком условии человек может перестать быть не только работником, но и покупателем.</w:t>
      </w:r>
    </w:p>
    <w:p>
      <w:pPr>
        <w:pStyle w:val="Normal"/>
      </w:pPr>
      <w:r>
        <w:rPr/>
        <w:t xml:space="preserve">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pStyle w:val="Normal"/>
      </w:pPr>
      <w:r>
        <w:rPr/>
        <w:t xml:space="preserve">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право определять направление накопления перестаёт следовать даже из роли покупателя.</w:t>
      </w:r>
    </w:p>
    <w:p>
      <w:pPr>
        <w:pStyle w:val="Normal"/>
      </w:pPr>
      <w:r>
        <w:rPr/>
        <w:t xml:space="preserve">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pStyle w:val="Normal"/>
      </w:pPr>
      <w:r>
        <w:rPr/>
        <w:t xml:space="preserve">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pStyle w:val="Normal"/>
      </w:pPr>
      <w:r>
        <w:rPr/>
        <w:t xml:space="preserve">Начальный резерв может закончиться. Первое поколение участников способно занять его целиком. Поэтому защищать нужно и возможность нового назначения ещё не обещанных ресурсов: предложить другой вопрос, получить средства проверки, изменить совместную программу или продолжить вне неё.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pStyle w:val="Normal"/>
      </w:pPr>
      <w:r>
        <w:rPr/>
        <w:t xml:space="preserve">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pStyle w:val="Normal"/>
      </w:pPr>
      <w:r>
        <w:rPr/>
        <w:t xml:space="preserve">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pStyle w:val="Normal"/>
      </w:pPr>
      <w:r>
        <w:rPr/>
        <w:t xml:space="preserve">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pStyle w:val="Normal"/>
      </w:pPr>
      <w:r>
        <w:rPr/>
        <w:t xml:space="preserve">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t xml:space="preserve">Источники и примечания</w:t>
      </w:r>
    </w:p>
    <w:p>
      <w:pPr>
        <w:pStyle w:val="Note"/>
      </w:pPr>
      <w:bookmarkStart w:id="1" w:name="Note1"/>
      <w:r>
        <w:rPr/>
        <w:t xml:space="preserve">1. </w:t>
      </w:r>
      <w:r>
        <w:rPr/>
        <w:t xml:space="preserve">NASA Small Spacecraft Systems Virtual Institute, </w:t>
      </w:r>
      <w:hyperlink w:history="1" r:id="link1">
        <w:r>
          <w:rPr>
            <w:i/>
            <w:rStyle w:val="Hyperlink"/>
          </w:rPr>
          <w:t xml:space="preserve">7.0 Thermal Control</w:t>
        </w:r>
      </w:hyperlink>
      <w:r>
        <w:rPr/>
        <w:t xml:space="preserve">, §7.1, начало §7.2.1 и §7.3.4 </w:t>
      </w:r>
      <w:r>
        <w:rPr>
          <w:i/>
        </w:rPr>
        <w:t xml:space="preserve">Fluid Loops</w:t>
      </w:r>
      <w:r>
        <w:rPr/>
        <w:t xml:space="preserve">. Перенос тепла внутри аппарата и внешнее излучение различаются. NASA </w:t>
      </w:r>
      <w:hyperlink w:history="1" r:id="link2">
        <w:r>
          <w:rPr>
            <w:i/>
            <w:rStyle w:val="Hyperlink"/>
          </w:rPr>
          <w:t xml:space="preserve">Reference Guide to the ISS</w:t>
        </w:r>
      </w:hyperlink>
      <w:r>
        <w:rPr/>
        <w:t xml:space="preserve">,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1"/>
    </w:p>
    <w:p>
      <w:pPr>
        <w:pStyle w:val="Note"/>
      </w:pPr>
      <w:bookmarkStart w:id="2" w:name="Note2"/>
      <w:r>
        <w:rPr/>
        <w:t xml:space="preserve">2. </w:t>
      </w:r>
      <w:r>
        <w:rPr/>
        <w:t xml:space="preserve">NASA/JPL, </w:t>
      </w:r>
      <w:hyperlink w:history="1" r:id="link3">
        <w:r>
          <w:rPr>
            <w:i/>
            <w:rStyle w:val="Hyperlink"/>
          </w:rPr>
          <w:t xml:space="preserve">Calculating Solar Power in Space</w:t>
        </w:r>
      </w:hyperlink>
      <w:r>
        <w:rPr/>
        <w:t xml:space="preserve">, </w:t>
      </w:r>
      <w:r>
        <w:rPr>
          <w:i/>
        </w:rPr>
        <w:t xml:space="preserve">Background</w:t>
      </w:r>
      <w:r>
        <w:rPr/>
        <w:t xml:space="preserve">: зависимость освещённости от расстояния и ограничения преобразования. Источник не подтверждает экономику предполагаемой индустрии.</w:t>
      </w:r>
      <w:bookmarkEnd w:id="2"/>
    </w:p>
    <w:p>
      <w:pPr>
        <w:pStyle w:val="Note"/>
      </w:pPr>
      <w:bookmarkStart w:id="3" w:name="Note3"/>
      <w:r>
        <w:rPr/>
        <w:t xml:space="preserve">3. </w:t>
      </w:r>
      <w:r>
        <w:rPr/>
        <w:t xml:space="preserve">National Research Council, </w:t>
      </w:r>
      <w:hyperlink w:history="1" r:id="link4">
        <w:r>
          <w:rPr>
            <w:i/>
            <w:rStyle w:val="Hyperlink"/>
          </w:rPr>
          <w:t xml:space="preserve">3D Printing in Space</w:t>
        </w:r>
      </w:hyperlink>
      <w:r>
        <w:rPr/>
        <w:t xml:space="preserve">, 2014, гл.3: </w:t>
      </w:r>
      <w:r>
        <w:rPr>
          <w:i/>
        </w:rPr>
        <w:t xml:space="preserve">Quality, Verification, Validation, and Functional Testing</w:t>
      </w:r>
      <w:r>
        <w:rPr/>
        <w:t xml:space="preserve">, </w:t>
      </w:r>
      <w:r>
        <w:rPr>
          <w:i/>
        </w:rPr>
        <w:t xml:space="preserve">Infrastructure</w:t>
      </w:r>
      <w:r>
        <w:rPr/>
        <w:t xml:space="preserve">, </w:t>
      </w:r>
      <w:r>
        <w:rPr>
          <w:i/>
        </w:rPr>
        <w:t xml:space="preserve">Use of a Platform</w:t>
      </w:r>
      <w:r>
        <w:rPr/>
        <w:t xml:space="preserve">, </w:t>
      </w:r>
      <w:r>
        <w:rPr>
          <w:i/>
        </w:rPr>
        <w:t xml:space="preserve">Human Presence</w:t>
      </w:r>
      <w:r>
        <w:rPr/>
        <w:t xml:space="preserve">, печатные с. 49–50, 52–54. Описанные в 2014 году условия не выдаются за современный обзор или доказательство вечной необходимости человека.</w:t>
      </w:r>
      <w:bookmarkEnd w:id="3"/>
    </w:p>
    <w:p>
      <w:pPr>
        <w:pStyle w:val="Note"/>
      </w:pPr>
      <w:r>
        <w:rPr/>
        <w:t xml:space="preserve">Усиление ИИ, автономная исследовательская программа и предельная материальная самостоятельность введены отдельно. Ни одна из этих предпосылок не объявлена результатом пилота или датированным прогнозом.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asa.gov/smallsat-institute/sst-soa/thermal-control/" TargetMode="External" /><Relationship Id="link2" Type="http://schemas.openxmlformats.org/officeDocument/2006/relationships/hyperlink" Target="https://www.nasa.gov/wp-content/uploads/2022/06/508318main_iss_ref_guide_nov2010.pdf" TargetMode="External" /><Relationship Id="link3" Type="http://schemas.openxmlformats.org/officeDocument/2006/relationships/hyperlink" Target="https://www.jpl.nasa.gov/edu/resources/lesson-plan/calculating-solar-power-in-space/" TargetMode="External" /><Relationship Id="link4" Type="http://schemas.openxmlformats.org/officeDocument/2006/relationships/hyperlink" Target="https://www.nationalacademies.org/read/18871/chapter/5" TargetMode="External" /></Relationships>
</file>