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document"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Title"/>
      </w:pPr>
      <w:r>
        <w:rPr/>
        <w:t xml:space="preserve">Почему нас оставят в покое</w:t>
      </w:r>
    </w:p>
    <w:p>
      <w:pPr>
        <w:pStyle w:val="Subtitle"/>
      </w:pPr>
      <w:r>
        <w:rPr/>
        <w:t xml:space="preserve">Право на решение · версия 10.0</w:t>
      </w:r>
    </w:p>
    <w:p>
      <w:pPr>
        <w:pStyle w:val="Normal"/>
      </w:pPr>
      <w:r>
        <w:rPr/>
        <w:t xml:space="preserve">Собственная электростанция снимает угрозу отключения чужой услуги. Она же становится вещью, которую можно захватить.</w:t>
      </w:r>
    </w:p>
    <w:p>
      <w:pPr>
        <w:pStyle w:val="Normal"/>
      </w:pPr>
      <w:r>
        <w:rPr/>
        <w:t xml:space="preserve">Земной договор должен выдержать взгляд с этой стороны. У внешней промышленности больше ресурсов и быстрее обновляется техника. Человеческое оружие не создаёт равенства сил одним своим существованием. Если спокойствие Земли держится только на хорошем отношении далёкого владельца, последнее решение всё ещё принадлежит ему.</w:t>
      </w:r>
    </w:p>
    <w:p>
      <w:pPr>
        <w:pStyle w:val="Normal"/>
      </w:pPr>
      <w:r>
        <w:rPr/>
        <w:t xml:space="preserve">Однако превосходство в силе само по себе не указывает, что выгодно делать этой силой.</w:t>
      </w:r>
    </w:p>
    <w:p>
      <w:pPr>
        <w:pStyle w:val="Normal"/>
      </w:pPr>
      <w:r>
        <w:rPr/>
        <w:t xml:space="preserve">Для нашей внешней сети Земля — дорогой, сложно устроенный объект. Часть ценных мест занята водой, поселениями, транспортом и живыми системами. Переделка затрагивает чужие установки, в том числе предприятия машинных партнёров. Её последствия придётся отделять от прежних обязательств, устранять помехи, удерживать полученное. За пределами Земли сеть уже умеет создавать производство в среде, для которой строила свои устройства.</w:t>
      </w:r>
    </w:p>
    <w:p>
      <w:pPr>
        <w:pStyle w:val="Normal"/>
      </w:pPr>
      <w:r>
        <w:rPr/>
        <w:t xml:space="preserve">Это различие должно существовать в производстве, прежде чем на него можно опереться в политике. Выберем продолжение, в котором нужный дополнительный материал и энергию дешевле получать снаружи, чем добывать переделкой человеческой среды. Новая орбита, месторождение или режим установки дают больший полезный выпуск на тот же ресурс. У расширения остаются расходы — их мы уже видели, — но у земного передела они выше.</w:t>
      </w:r>
    </w:p>
    <w:p>
      <w:pPr>
        <w:pStyle w:val="Normal"/>
      </w:pPr>
      <w:r>
        <w:rPr/>
        <w:t xml:space="preserve">Тогда отказ от захвата оплачивается лучшей возможностью.</w:t>
      </w:r>
    </w:p>
    <w:p>
      <w:pPr>
        <w:pStyle w:val="Normal"/>
      </w:pPr>
      <w:r>
        <w:rPr/>
        <w:t xml:space="preserve">Такое положение удерживается, пока сравнение остаётся в пользу внешнего строительства. Поэтому человеческим обществам выгодно поддерживать разделение необходимых цепей. Их базовое снабжение находится в собственном ведении, а внешней сети для обычного роста не требуется перестраивать земную жизнь. Общие предприятия продолжают работать там, где от них выигрывают обе стороны. Они создают дополнительные причины сохранять договор: владельцы защищают действующие активы и доходы.</w:t>
      </w:r>
    </w:p>
    <w:p>
      <w:pPr>
        <w:pStyle w:val="Normal"/>
      </w:pPr>
      <w:r>
        <w:rPr/>
        <w:t xml:space="preserve">Но у совместной работы есть более будничная опасность. Можно не захватывать Землю и всё же повредить её.</w:t>
      </w:r>
    </w:p>
    <w:p>
      <w:pPr>
        <w:pStyle w:val="Normal"/>
      </w:pPr>
      <w:r>
        <w:rPr/>
        <w:t xml:space="preserve">Внешнему оператору потребуется изменить траекторию грузов, расположение установки или режим передачи энергии. Для него это улучшение собственного дела. Для земного получателя — помеха, лишние расходы или остановка оборудования. Если вред обнаруживается после начала, одно право пожаловаться оставляет пострадавшего без средства ремонта именно тогда, когда оно нужно.</w:t>
      </w:r>
    </w:p>
    <w:p>
      <w:pPr>
        <w:pStyle w:val="Normal"/>
      </w:pPr>
      <w:r>
        <w:rPr/>
        <w:t xml:space="preserve">Поэтому часть обеспечения передаётся до изменения режима. Например, запас заменяемых узлов и оборудование для устранения определённого повреждения уже находятся у земной стороны. Договор описывает наблюдаемое событие, после которого этот ресурс переходит в её распоряжение. Для такого перехода не требуется последующее согласие оператора. Удалённый ключ, который позволяет ему заблокировать выданное оборудование, сделал бы передачу пустой.</w:t>
      </w:r>
    </w:p>
    <w:p>
      <w:pPr>
        <w:pStyle w:val="Normal"/>
      </w:pPr>
      <w:r>
        <w:rPr/>
        <w:t xml:space="preserve">Ресурс предоставляет обеспечитель. Он получает плату за эту услугу и, в свою очередь, удерживает отдельный актив оператора. Два запаса находятся у разных сторон и исполняют разную работу: первый позволяет Земле восстановить покрываемый участок, второй даёт обеспечителю причину разобраться в произошедшем.</w:t>
      </w:r>
    </w:p>
    <w:p>
      <w:pPr>
        <w:pStyle w:val="Normal"/>
      </w:pPr>
      <w:r>
        <w:rPr/>
        <w:t xml:space="preserve">После повреждения он уже понёс потерю. Установив причину, он может возместить её из удерживаемого актива. Расходы на проверку, исполнение и разрыв выгодных отношений уменьшают его интерес к взысканию. В пределах, где возвращаемого имущества всё же больше, бездействие обходится ему дороже действия. Человек получает заинтересованного участника спора, который защищает собственный ресурс.</w:t>
      </w:r>
      <w:hyperlink w:anchor="Note1" w:history="1">
        <w:r>
          <w:rPr>
            <w:rStyle w:val="Hyperlink"/>
          </w:rPr>
          <w:t xml:space="preserve">[1]</w:t>
        </w:r>
      </w:hyperlink>
    </w:p>
    <w:p>
      <w:pPr>
        <w:pStyle w:val="Normal"/>
      </w:pPr>
      <w:r>
        <w:rPr/>
        <w:t xml:space="preserve">Посмотрим, что произойдёт, если две внешние стороны договорятся между собой.</w:t>
      </w:r>
    </w:p>
    <w:p>
      <w:pPr>
        <w:pStyle w:val="Normal"/>
      </w:pPr>
      <w:r>
        <w:rPr/>
        <w:t xml:space="preserve">Оператор предложит заплатить обеспечителю меньше полного взыскания, сохранив выгодные отношения. Обоим это может понравиться. В нашем численном примере именно такая сделка выгоднее жёсткого исполнения. Но уже выданный Земле ресурс у неё остаётся. Побочная договорённость меняет расчёты между двумя внешними участниками; она не возвращает им заранее переданное имущество.</w:t>
      </w:r>
    </w:p>
    <w:p>
      <w:pPr>
        <w:pStyle w:val="Normal"/>
      </w:pPr>
      <w:r>
        <w:rPr/>
        <w:t xml:space="preserve">В этом и состоит работа конструкции. Нужная часть исполнения произошла до того, как участникам стало выгодно договориться о чём-то другом.</w:t>
      </w:r>
    </w:p>
    <w:p>
      <w:pPr>
        <w:pStyle w:val="Normal"/>
      </w:pPr>
      <w:r>
        <w:rPr/>
        <w:t xml:space="preserve">Она имеет покупателя. Оператор получает доступ к полезному совместному предприятию или к определённому режиму работы, обеспечитель — плату. Если за ограниченное покрытие нельзя назначить цену, которую согласны принять обе стороны, сделка не состоится. В проверке есть и такой случай: частые потери делают страхование невыгодным даже при успешном взыскании. Земная сторона сохраняет прежний режим вместо обещанного улучшения. Отказ от новой услуги становится исполнимым действием.</w:t>
      </w:r>
    </w:p>
    <w:p>
      <w:pPr>
        <w:pStyle w:val="Normal"/>
      </w:pPr>
      <w:r>
        <w:rPr/>
        <w:t xml:space="preserve">Гарантия покрывает определённый ущерб из определённого запаса. Израсходованное обеспечение приходится пополнять, прежде чем следующая операция получит такое же покрытие. Под запасом сменных узлов нельзя спрятать обещание восстановить уничтоженную планету. Сам договор ничего подобного не обеспечивает.</w:t>
      </w:r>
    </w:p>
    <w:p>
      <w:pPr>
        <w:pStyle w:val="Normal"/>
      </w:pPr>
      <w:r>
        <w:rPr/>
        <w:t xml:space="preserve">Земные участники будут спорить и об этой ограниченной конструкции. Владелец повреждаемой установки потребует большего запаса; покупатель дешёвой энергии захочет быстрее открыть новый режим; правящая группа может продать согласие, оставив будущий ремонт преемникам. Средства наблюдения и контроль над обеспечением становятся предметом внутренней власти. Общая заинтересованность в существовании Земли не отменяет борьбу за её конкретные участки.</w:t>
      </w:r>
    </w:p>
    <w:p>
      <w:pPr>
        <w:pStyle w:val="Normal"/>
      </w:pPr>
      <w:r>
        <w:rPr/>
        <w:t xml:space="preserve">Поэтому крупное изменение среды может вообще не получить разрешения. Например, вмешательство, последствия которого нельзя отделить от общей климатической системы, не помещается в договор о замене повреждённого прибора. В нашей ветви такие изменения остаются за границей разрешённой деятельности. У внешней сети сохраняется более выгодное продолжение снаружи; обычные совместные операции обходятся без права переделывать земную среду целиком.</w:t>
      </w:r>
    </w:p>
    <w:p>
      <w:pPr>
        <w:pStyle w:val="Normal"/>
      </w:pPr>
      <w:r>
        <w:rPr/>
        <w:t xml:space="preserve">Что остаётся от договора перед силой, которая решит забрать и обеспечение, и Землю?</w:t>
      </w:r>
    </w:p>
    <w:p>
      <w:pPr>
        <w:pStyle w:val="Normal"/>
      </w:pPr>
      <w:r>
        <w:rPr/>
        <w:t xml:space="preserve">Прежний расчёт должен будет удерживать её сам: цена захвата, потеря других возможностей, ущерб собственным партнёрам. Если необходимый ей ресурс окажется только здесь или передел станет выгоднее внешнего роста, эта опора изменится. Если все превосходящие нас участники договорятся о захвате и смогут его осуществить, отдельный залог не остановит их. У нашей конструкции нет тайного последнего защитника.</w:t>
      </w:r>
      <w:hyperlink w:anchor="Note2" w:history="1">
        <w:r>
          <w:rPr>
            <w:rStyle w:val="Hyperlink"/>
          </w:rPr>
          <w:t xml:space="preserve">[2]</w:t>
        </w:r>
      </w:hyperlink>
    </w:p>
    <w:p>
      <w:pPr>
        <w:pStyle w:val="Normal"/>
      </w:pPr>
      <w:r>
        <w:rPr/>
        <w:t xml:space="preserve">У этого порядка три опоры: собственная воспроизводимая жизнь земных обществ, выгодное расширение внешних организаций за её пределами и заранее исполненная часть обязательств на участках совместной работы.</w:t>
      </w:r>
    </w:p>
    <w:p>
      <w:pPr>
        <w:pStyle w:val="Normal"/>
      </w:pPr>
      <w:r>
        <w:rPr/>
        <w:t xml:space="preserve">В выбранном продолжении эти основания сохраняются. Внешние организации строят дальше. Земные общества меняют свои порядки, заключают и прекращают сделки, спорят о том, сколько своего будущего вкладывать в общее исследование. Части людей такой простор достаточно. Другим мало самой границы, за которой продолжается главное, как им кажется, дело.</w:t>
      </w:r>
    </w:p>
    <w:p>
      <w:pPr>
        <w:pStyle w:val="Normal"/>
      </w:pPr>
      <w:r>
        <w:rPr/>
        <w:t xml:space="preserve">За ней уже трудно различить одного наследника.</w:t>
      </w:r>
    </w:p>
    <w:p>
      <w:pPr>
        <w:pStyle w:val="Heading1"/>
      </w:pPr>
      <w:r>
        <w:rPr/>
        <w:t xml:space="preserve">Примечания</w:t>
      </w:r>
    </w:p>
    <w:p>
      <w:pPr>
        <w:pStyle w:val="Note"/>
      </w:pPr>
      <w:bookmarkStart w:id="1" w:name="Note1"/>
      <w:r>
        <w:rPr/>
        <w:t xml:space="preserve">1. </w:t>
      </w:r>
      <w:r>
        <w:rPr/>
        <w:t xml:space="preserve">Авторское дополнение к M03 — модель ограниченного материального обеспечения. Отдельно учтены земной запас, удерживаемый актив оператора, расходы проверки и взыскания, утрачиваемая маржа отношений и возможная побочная сделка. При условном ущербе 8 Земля получает 8 независимо от последующего выбора обеспечителя. Взыскание выгоднее бездействия на 4, но двусторонняя выплата 6 улучшает положение обеих внешних сторон по сравнению с полным взысканием. Это сравнение заданных действий, а не найденное равновесие всех переговоров. </w:t>
      </w:r>
      <w:hyperlink w:history="1" r:id="link1">
        <w:r>
          <w:rPr>
            <w:rStyle w:val="Hyperlink"/>
          </w:rPr>
          <w:t xml:space="preserve">Код, состояния и расчёты</w:t>
        </w:r>
      </w:hyperlink>
      <w:r>
        <w:rPr/>
        <w:t xml:space="preserve">.</w:t>
      </w:r>
      <w:bookmarkEnd w:id="1"/>
    </w:p>
    <w:p>
      <w:pPr>
        <w:pStyle w:val="Note"/>
      </w:pPr>
      <w:bookmarkStart w:id="2" w:name="Note2"/>
      <w:r>
        <w:rPr/>
        <w:t xml:space="preserve">2. </w:t>
      </w:r>
      <w:r>
        <w:rPr/>
        <w:t xml:space="preserve">Исходная M03 сопоставляет ценность передела, его расходы, упущенную внешнюю возможность и заданную потерю обеспечения. При росте выгоды нарушения решение меняется. Она не рассчитывает военные возможности. Новое дополнение объясняет частный мотив в одном ограниченном договоре; выбор внешнего роста вместо земного захвата остаётся явным условием описанной ветви.</w:t>
      </w:r>
      <w:bookmarkEnd w:id="2"/>
    </w:p>
    <w:sectPr>
      <w:footerReference w:type="default" r:id="footer"/>
      <w:pgSz w:w="11906" w:h="16838"/>
      <w:pgMar w:top="1276" w:right="1361" w:bottom="1276" w:left="1361" w:header="567" w:footer="567" w:gutter="0"/>
    </w:sectPr>
  </w:body>
</w:document>
</file>

<file path=word/footer1.xml><?xml version="1.0" encoding="utf-8"?>
<w:ftr xmlns:w="http://schemas.openxmlformats.org/wordprocessingml/2006/main">
  <w:p>
    <w:pPr>
      <w:jc w:val="center"/>
    </w:pPr>
    <w:fldSimple w:instr="PAGE">
      <w:r>
        <w:t>1</w:t>
      </w:r>
    </w:fldSimple>
  </w:p>
</w:ftr>
</file>

<file path=word/styles.xml><?xml version="1.0" encoding="utf-8"?>
<w:styles xmlns:w="http://schemas.openxmlformats.org/wordprocessingml/2006/main">
  <w:docDefaults>
    <w:rPrDefault>
      <w:rPr>
        <w:rFonts w:ascii="Georgia" w:hAnsi="Georgia" w:cs="Georgia"/>
        <w:sz w:val="24"/>
        <w:lang w:val="ru-RU"/>
      </w:rPr>
    </w:rPrDefault>
  </w:docDefaults>
  <w:style w:type="paragraph" w:styleId="Normal" w:default="1">
    <w:name w:val="Normal"/>
    <w:pPr>
      <w:spacing w:before="0" w:after="120" w:line="312" w:lineRule="auto"/>
      <w:widowControl/>
    </w:pPr>
    <w:rPr>
      <w:sz w:val="24"/>
    </w:rPr>
  </w:style>
  <w:style w:type="paragraph" w:styleId="Title">
    <w:name w:val="Title"/>
    <w:pPr>
      <w:spacing w:before="0" w:after="240" w:line="312" w:lineRule="auto"/>
      <w:widowControl/>
      <w:keepNext/>
    </w:pPr>
    <w:rPr>
      <w:sz w:val="40"/>
      <w:b/>
    </w:rPr>
  </w:style>
  <w:style w:type="paragraph" w:styleId="Subtitle">
    <w:name w:val="Subtitle"/>
    <w:pPr>
      <w:spacing w:before="0" w:after="480" w:line="312" w:lineRule="auto"/>
      <w:widowControl/>
      <w:keepNext/>
    </w:pPr>
    <w:rPr>
      <w:sz w:val="20"/>
      <w:color w:val="666666"/>
    </w:rPr>
  </w:style>
  <w:style w:type="paragraph" w:styleId="Heading1">
    <w:name w:val="Heading1"/>
    <w:pPr>
      <w:spacing w:before="360" w:after="180" w:line="312" w:lineRule="auto"/>
      <w:widowControl/>
      <w:keepNext/>
      <w:outlineLvl w:val="0"/>
    </w:pPr>
    <w:rPr>
      <w:sz w:val="30"/>
      <w:b/>
    </w:rPr>
  </w:style>
  <w:style w:type="paragraph" w:styleId="Heading2">
    <w:name w:val="Heading2"/>
    <w:pPr>
      <w:spacing w:before="280" w:after="150" w:line="312" w:lineRule="auto"/>
      <w:widowControl/>
      <w:keepNext/>
      <w:outlineLvl w:val="1"/>
    </w:pPr>
    <w:rPr>
      <w:sz w:val="26"/>
      <w:b/>
    </w:rPr>
  </w:style>
  <w:style w:type="paragraph" w:styleId="Separator">
    <w:name w:val="Separator"/>
    <w:pPr>
      <w:spacing w:before="150" w:after="200" w:line="312" w:lineRule="auto"/>
      <w:widowControl/>
      <w:jc w:val="center"/>
    </w:pPr>
    <w:rPr>
      <w:sz w:val="24"/>
    </w:rPr>
  </w:style>
  <w:style w:type="character" w:styleId="Hyperlink">
    <w:name w:val="Hyperlink"/>
    <w:rPr>
      <w:color w:val="315D82"/>
      <w:u w:val="single"/>
    </w:rPr>
  </w:style>
  <w:style w:type="paragraph" w:styleId="Note">
    <w:name w:val="Note"/>
    <w:basedOn w:val="Normal"/>
    <w:rPr>
      <w:sz w:val="20"/>
    </w:rPr>
  </w:style>
</w:styles>
</file>

<file path=word/_rels/document.xml.rels><?xml version='1.0' encoding='utf-8'?>
<Relationships xmlns="http://schemas.openxmlformats.org/package/2006/relationships"><Relationship Id="styles" Type="http://schemas.openxmlformats.org/officeDocument/2006/relationships/styles" Target="styles.xml" /><Relationship Id="footer" Type="http://schemas.openxmlformats.org/officeDocument/2006/relationships/footer" Target="footer1.xml" /><Relationship Id="link1" Type="http://schemas.openxmlformats.org/officeDocument/2006/relationships/hyperlink" Target="https://adavydov.github.io/right-to-decide/research/v10/#M03" TargetMode="External" /></Relationships>
</file>