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/>
        <w:t xml:space="preserve">Глава 4. От ученика к создателю</w:t>
      </w:r>
    </w:p>
    <w:p>
      <w:pPr>
        <w:pStyle w:val="Subtitle"/>
      </w:pPr>
      <w:r>
        <w:rPr/>
        <w:t xml:space="preserve">Право на решение · версия 8.0</w:t>
      </w:r>
    </w:p>
    <w:p>
      <w:pPr>
        <w:pStyle w:val="Normal"/>
      </w:pPr>
      <w:r>
        <w:rPr/>
        <w:t xml:space="preserve">Степан Тимошенко умел испытывать цемент на прочность. В механической лаборатории петербургского Института инженеров путей сообщения он провёл множество таких испытаний. Работал с рельсовой сталью, хорошо освоил машины, обходился без помощи механика. Но в Мюнхене, куда он приехал в 1904 году, знакомый цементный кубик оказался почти новым предметом.</w:t>
      </w:r>
    </w:p>
    <w:p>
      <w:pPr>
        <w:pStyle w:val="Normal"/>
      </w:pPr>
      <w:r>
        <w:rPr/>
        <w:t xml:space="preserve">В лаборатории Августа Феппля сравнивали разные способы сжатия. Кубик сдавливали с четырёх сторон, подвергали всестороннему гидравлическому давлению, раздавливали между плитами пресса. Феппль показывал действие прокладок и смазывания граней. За числом, обозначавшим прочность материала, обнаруживались условия получения этого числа.</w:t>
      </w:r>
    </w:p>
    <w:p>
      <w:pPr>
        <w:pStyle w:val="Normal"/>
      </w:pPr>
      <w:r>
        <w:rPr/>
        <w:t xml:space="preserve">Прежде испытание сообщало, выдерживает ли материал установленную проверку. Теперь различия между опытами помогали разбираться в теориях прочности. У Тимошенко уже была рука испытателя. Он учился видеть, о чём можно спросить материал.</w:t>
      </w:r>
    </w:p>
    <w:p>
      <w:pPr>
        <w:pStyle w:val="Normal"/>
      </w:pPr>
      <w:r>
        <w:rPr/>
        <w:t xml:space="preserve">Оборудование мюнхенской лаборатории, по его воспоминаниям, во многих случаях уступало петербургскому. Разница заключалась в работе, для которой его приобретали. Машины служили определённым исследовательским вопросам. Старый прибор позволял получить новое знание, потому что с ним иначе обращались.</w:t>
      </w:r>
      <w:hyperlink w:anchor="Note1" w:history="1">
        <w:r>
          <w:rPr>
            <w:rStyle w:val="Hyperlink"/>
          </w:rPr>
          <w:t xml:space="preserve">[1]</w:t>
        </w:r>
      </w:hyperlink>
    </w:p>
    <w:p>
      <w:pPr>
        <w:pStyle w:val="Normal"/>
      </w:pPr>
      <w:r>
        <w:rPr/>
        <w:t xml:space="preserve">Петербургские нормативные испытания от этого не становились плохой работой. Заводу нужен сопоставимый результат; нельзя каждый раз заменять установленную процедуру свободным исследованием. Тимошенко выполнял полезный заказ и приобретал мастерство. Однако следующая партия цемента могла потребовать от него ровно того же, что предыдущая. Чтобы двигаться дальше, ему пришлось искать другую работу с уже знакомым предметом.</w:t>
      </w:r>
    </w:p>
    <w:p>
      <w:pPr>
        <w:pStyle w:val="Normal"/>
      </w:pPr>
      <w:r>
        <w:rPr/>
        <w:t xml:space="preserve">Этот поиск начался до поездки. Дополнительные лекции не сразу помогли: Тимошенко не хватало математики, но предложенные курсы не давали ему способа подступиться к инженерным вопросам. В докладах Алексея Крылова он увидел нужное движение. Инженерная задача получала математическое выражение, затем решение уравнения возвращалось к исходной задаче и приобретало технический смысл.</w:t>
      </w:r>
    </w:p>
    <w:p>
      <w:pPr>
        <w:pStyle w:val="Normal"/>
      </w:pPr>
      <w:r>
        <w:rPr/>
        <w:t xml:space="preserve">Теория переставала быть ещё одним предметом, который необходимо выучить. Она открывала действия, недоступные человеку, умеющему лишь провести испытание по правилам. Теперь Тимошенко мог искать, какие отношения скрываются за измерением и как проверить предложенное объяснение.</w:t>
      </w:r>
    </w:p>
    <w:p>
      <w:pPr>
        <w:pStyle w:val="Normal"/>
      </w:pPr>
      <w:r>
        <w:rPr/>
        <w:t xml:space="preserve">В Петербургском политехническом институте ему предложили участвовать в организации новой механической лаборатории. Требовалось устанавливать машины, готовить занятия и составлять задачи. Он продолжал разбираться в механике сам, одновременно придумывая, как сделать её понятной студентам. Подготовка хорошей задачи требовала заметить и собственный пробел: нельзя было ограничиться ответом, если предстояло показать, откуда он берётся.</w:t>
      </w:r>
    </w:p>
    <w:p>
      <w:pPr>
        <w:pStyle w:val="Normal"/>
      </w:pPr>
      <w:r>
        <w:rPr/>
        <w:t xml:space="preserve">Политехникум дал этому поиску время. Тимошенко получил казённую квартиру и жалованье, которого хватало, по его свидетельству, на жизнь и летние поездки за границу. Он преподавал не больше двенадцати часов в неделю и не искал заработка вне института. Коллеги помогали выбирать книги. Возможность доехать до Феппля была частью его становления наряду с возможностью понять опыт.</w:t>
      </w:r>
      <w:hyperlink w:anchor="Note2" w:history="1">
        <w:r>
          <w:rPr>
            <w:rStyle w:val="Hyperlink"/>
          </w:rPr>
          <w:t xml:space="preserve">[2]</w:t>
        </w:r>
      </w:hyperlink>
    </w:p>
    <w:p>
      <w:pPr>
        <w:pStyle w:val="Normal"/>
      </w:pPr>
      <w:r>
        <w:rPr/>
        <w:t xml:space="preserve">Из Мюнхена Тимошенко вынес суждение, которое плохо сочетается с требованием немедленной ученической самостоятельности. Начинающего, считал он, нужно внимательно вести через первые опыты. Предоставленные себе студенты могут быстро разорвать образец, записать требуемые результаты и почти ничему не научиться. Преподаватель обращает их внимание на то, мимо чего они иначе проходят.</w:t>
      </w:r>
    </w:p>
    <w:p>
      <w:pPr>
        <w:pStyle w:val="Normal"/>
      </w:pPr>
      <w:r>
        <w:rPr/>
        <w:t xml:space="preserve">Первые шаги здесь устроены учителем: он выбирает опыт, направляет внимание, предлагает объяснение. Но без этих различий ученик может остаться пленником знакомой операции, даже получив полную свободу действовать. Вопрос о самостоятельности решается в дальнейшем: что человек сделает с приобретённым способом видеть?</w:t>
      </w:r>
    </w:p>
    <w:p>
      <w:pPr>
        <w:pStyle w:val="Normal"/>
      </w:pPr>
      <w:r>
        <w:rPr/>
        <w:t xml:space="preserve">В Киеве Тимошенко изменил порядок преподавания сопротивления материалов. Принято было начинать с общего рассмотрения напряжённого состояния; так строили курс и немецкие профессора, включая Феппля. Тимошенко начал с простых задач растяжения и сжатия. Через них студенты знакомились с напряжением, деформацией и модулем упругости, а затем сразу применяли понятия к расчёту. Опыт учителя стал основанием отступить от его способа учить.</w:t>
      </w:r>
    </w:p>
    <w:p>
      <w:pPr>
        <w:pStyle w:val="Normal"/>
      </w:pPr>
      <w:r>
        <w:rPr/>
        <w:t xml:space="preserve">Другая перемена касалась лаборатории. Она уже испытывала материалы для промышленности и строительных работ. Тимошенко хотел, чтобы студент мог проверить здесь формулы, полученные на лекции, вместе с упрощающими допущениями, на которых они держались.</w:t>
      </w:r>
    </w:p>
    <w:p>
      <w:pPr>
        <w:pStyle w:val="Normal"/>
      </w:pPr>
      <w:r>
        <w:rPr/>
        <w:t xml:space="preserve">Для этого пришлось создавать приборы. Простую гибкую балку можно было нагружать по-разному и менять положение её опор. Прогибы получались достаточно большими для измерения. Студент выводил формулу, рассчитывал ожидаемый прогиб, а затем сравнивал расчёт с опытом. Та же балка открывала следующую задачу: что изменится при другой опоре или другом расположении груза?</w:t>
      </w:r>
    </w:p>
    <w:p>
      <w:pPr>
        <w:pStyle w:val="Normal"/>
      </w:pPr>
      <w:r>
        <w:rPr/>
        <w:t xml:space="preserve">Эту работу Тимошенко делал с сотрудниками. Они проектировали приборы, вели упражнения и лабораторные занятия. Из описаний опытов получилось пособие. Посетив киевскую лабораторию в 1958 году, Тимошенко увидел, что им продолжают пользоваться.</w:t>
      </w:r>
      <w:hyperlink w:anchor="Note3" w:history="1">
        <w:r>
          <w:rPr>
            <w:rStyle w:val="Hyperlink"/>
          </w:rPr>
          <w:t xml:space="preserve">[3]</w:t>
        </w:r>
      </w:hyperlink>
    </w:p>
    <w:p>
      <w:pPr>
        <w:pStyle w:val="Normal"/>
      </w:pPr>
      <w:r>
        <w:rPr/>
        <w:t xml:space="preserve">Мюнхенский опыт продолжился не копией мюнхенских занятий. Для других студентов, в другой лаборатории возникли собственный курс, приборы и порядок работы. Преподавание потребовало изобретения. Пособием продолжали пользоваться спустя много лет. Но долгая жизнь пособия ещё не объясняет, кто получит возможность построить рядом другую лабораторию.</w:t>
      </w:r>
    </w:p>
    <w:p>
      <w:pPr>
        <w:pStyle w:val="Normal"/>
      </w:pPr>
      <w:r>
        <w:rPr/>
        <w:t xml:space="preserve">В таком продолжении есть больше, чем передача знаний. Сохранить формулу сравнительно просто. Труднее передать возможность заметить её ограничение, поставить другой опыт и научить этому следующих. Тимошенко менял условия чужого ученичества. Именно здесь в его истории появляется создатель школы.</w:t>
      </w:r>
    </w:p>
    <w:p>
      <w:pPr>
        <w:pStyle w:val="Normal"/>
      </w:pPr>
      <w:r>
        <w:rPr/>
        <w:t xml:space="preserve">Однако способность учить, исследовать и руководить ещё не определяет границы человеческой свободы.</w:t>
      </w:r>
    </w:p>
    <w:p>
      <w:pPr>
        <w:pStyle w:val="Normal"/>
      </w:pPr>
      <w:r>
        <w:rPr/>
        <w:t xml:space="preserve">В «Туполевской шараге» Леонид Кербер описывает назначение заключённых ведущими конструкторами и руководителями свободных специалистов. Им выдавали чертёжные инструменты, логарифмические линейки, талоны в техническую библиотеку. Они могли влиять на рабочее время подчинённых, отпуска и премии. Их полномочия внутри конструкторской работы были существенными. За её пределами они оставались заключёнными: спали в тюремных помещениях, жили под охраной, не распоряжались возможностью уйти.</w:t>
      </w:r>
      <w:hyperlink w:anchor="Note4" w:history="1">
        <w:r>
          <w:rPr>
            <w:rStyle w:val="Hyperlink"/>
          </w:rPr>
          <w:t xml:space="preserve">[4]</w:t>
        </w:r>
      </w:hyperlink>
    </w:p>
    <w:p>
      <w:pPr>
        <w:pStyle w:val="Normal"/>
      </w:pPr>
      <w:r>
        <w:rPr/>
        <w:t xml:space="preserve">Это меняет прочтение пути Тимошенко. Умение менять метод, средства для опыта и возможность выбирать собственное продолжение имеют разные основания. В описанной Кербером работе были инструменты и существенные инженерные полномочия, но не было свободы уйти. В биографии Тимошенко понимание соединилось с другим местом работы, временем и возможностью иначе устроить преподавание. Сама сложность задачи не определяла, какое сочетание получит человек.</w:t>
      </w:r>
    </w:p>
    <w:p>
      <w:pPr>
        <w:pStyle w:val="Normal"/>
      </w:pPr>
      <w:r>
        <w:rPr/>
        <w:t xml:space="preserve">Даже вход в мюнхенскую лабораторию заслуживает отдельного внимания. Тимошенко приехал после начала семестра и не мог записаться студентом. По его воспоминаниям, встретившийся ему ректор помог получить свидетельство, разрешавшее посещать занятия; Феппль допустил его к лекциям и лабораторной работе. Приезжий получил возможность учиться вне обычного срока зачисления.</w:t>
      </w:r>
      <w:hyperlink w:anchor="Note5" w:history="1">
        <w:r>
          <w:rPr>
            <w:rStyle w:val="Hyperlink"/>
          </w:rPr>
          <w:t xml:space="preserve">[5]</w:t>
        </w:r>
      </w:hyperlink>
      <w:r>
        <w:rPr/>
        <w:t xml:space="preserve"> Его удачный опыт показывает, что такой переход существовал. Он не сообщает, скольким другим посетителям отказали и кто из желавших вовсе не мог оплатить дорогу.</w:t>
      </w:r>
    </w:p>
    <w:p>
      <w:pPr>
        <w:pStyle w:val="Normal"/>
      </w:pPr>
      <w:r>
        <w:rPr/>
        <w:t xml:space="preserve">Поэтому историю школы нельзя восстановить по одной передаче знаний. Нужно увидеть, где человек получил время для понимания, кто предоставил ему средства и почему следующая организация согласилась принять его замысел. Оплата преподавания давала Тимошенко возможность исследовать; работа с сотрудниками превращала новое понимание в приборы и курс. Переход между организациями позволял изменить унаследованный метод. Эти связи объясняют больше, чем одно слово «мастерство».</w:t>
      </w:r>
    </w:p>
    <w:p>
      <w:pPr>
        <w:pStyle w:val="Normal"/>
      </w:pPr>
      <w:r>
        <w:rPr/>
        <w:t xml:space="preserve">Школе не обязательно удерживать весь путь внутри себя. Она может выполнить свою часть именно тогда, когда человек получает основания её покинуть. Продолжение в другом месте становится успехом передачи, хотя больше не принадлежит прежнему учителю.</w:t>
      </w:r>
    </w:p>
    <w:p>
      <w:pPr>
        <w:pStyle w:val="Normal"/>
      </w:pPr>
      <w:r>
        <w:rPr/>
        <w:t xml:space="preserve">Рядом с сильным ИИ многие звенья этого пути способны подешеветь. Машина поможет освоить математику, связать её с опытом, подготовить прибор и построить целый курс. Она может предложить лучшее продолжение сама. Поэтому воспроизвести институт начала XX века и поставить в его лаборатории более сильный инструмент было бы слишком простым ответом.</w:t>
      </w:r>
    </w:p>
    <w:p>
      <w:pPr>
        <w:pStyle w:val="Normal"/>
      </w:pPr>
      <w:r>
        <w:rPr/>
        <w:t xml:space="preserve">В истории Тимошенко общество нуждалось в новых инженерах. В принятом нами будущем технический результат может обходиться без их становления. Сохраняется возможность сделать объяснение доступнее; исчезнуть может работа, в которой человек получает основания для собственного следующего шага.</w:t>
      </w:r>
    </w:p>
    <w:p>
      <w:pPr>
        <w:pStyle w:val="Normal"/>
      </w:pPr>
      <w:r>
        <w:rPr/>
        <w:t xml:space="preserve">Поэтому к успешно работающему предприятию придётся обратиться с вопросом, на который его продукция не отвечает: что здесь становится доступно следующему человеку?</w:t>
      </w:r>
    </w:p>
    <w:p>
      <w:pPr>
        <w:pStyle w:val="Heading1"/>
      </w:pPr>
      <w:r>
        <w:rPr/>
        <w:t xml:space="preserve">Источники и примечания</w:t>
      </w:r>
    </w:p>
    <w:p>
      <w:pPr>
        <w:pStyle w:val="Note"/>
      </w:pPr>
      <w:bookmarkStart w:id="1" w:name="Note1"/>
      <w:r>
        <w:rPr/>
        <w:t xml:space="preserve">1. </w:t>
      </w:r>
      <w:hyperlink w:history="1" r:id="link1">
        <w:r>
          <w:rPr>
            <w:rStyle w:val="Hyperlink"/>
          </w:rPr>
          <w:t xml:space="preserve">С. П. Тимошенко. Воспоминания</w:t>
        </w:r>
      </w:hyperlink>
      <w:r>
        <w:rPr/>
        <w:t xml:space="preserve">. Киев, «Наукова думка», 1993. Разделы «Механическая лаборатория путейского института» и «Поездка в Европу летом 1904 года»; локаторы электронного корпуса P00217, P00237–P00244. Сравнение лабораторий и суждение о руководстве первыми опытами — ретроспективное свидетельство автора, а не общая оценка национальных систем. Печатная пагинация в использованном FB2 отсутствует.</w:t>
      </w:r>
      <w:bookmarkEnd w:id="1"/>
    </w:p>
    <w:p>
      <w:pPr>
        <w:pStyle w:val="Note"/>
      </w:pPr>
      <w:bookmarkStart w:id="2" w:name="Note2"/>
      <w:r>
        <w:rPr/>
        <w:t xml:space="preserve">2. </w:t>
      </w:r>
      <w:r>
        <w:rPr/>
        <w:t xml:space="preserve">Там же, «Механическая лаборатория путейского института» и «Петербургский политехнический институт», P00222–P00231: доклады Крылова, новая работа, подготовка задач, жалованье, квартира и преподавательская нагрузка.</w:t>
      </w:r>
      <w:bookmarkEnd w:id="2"/>
    </w:p>
    <w:p>
      <w:pPr>
        <w:pStyle w:val="Note"/>
      </w:pPr>
      <w:bookmarkStart w:id="3" w:name="Note3"/>
      <w:r>
        <w:rPr/>
        <w:t xml:space="preserve">3. </w:t>
      </w:r>
      <w:r>
        <w:rPr/>
        <w:t xml:space="preserve">Там же, «Занятия в киевском политехникуме», P00276–P00285: перестройка курса, приборы, задачи, работа сотрудников; P00283 — свидетельство о применении пособия при посещении 1958 года.</w:t>
      </w:r>
      <w:bookmarkEnd w:id="3"/>
    </w:p>
    <w:p>
      <w:pPr>
        <w:pStyle w:val="Note"/>
      </w:pPr>
      <w:bookmarkStart w:id="4" w:name="Note4"/>
      <w:r>
        <w:rPr/>
        <w:t xml:space="preserve">4. </w:t>
      </w:r>
      <w:hyperlink w:history="1" r:id="link2">
        <w:r>
          <w:rPr>
            <w:rStyle w:val="Hyperlink"/>
          </w:rPr>
          <w:t xml:space="preserve">Л. Л. Кербер. Туполевская шарага</w:t>
        </w:r>
      </w:hyperlink>
      <w:r>
        <w:rPr/>
        <w:t xml:space="preserve">, глава I. Фрагменты о назначении руководителями в КБ-103 и об охране ЦКБ-29; локальные диапазоны WEB00403–WEB00414, WEB00933–WEB00968. Использована OCR-копия, редакционная шапка которой сообщает об отличиях от печатного издания. Свидетельство о полномочиях и заключении не используется как доказательство эффективности принуждения.</w:t>
      </w:r>
      <w:bookmarkEnd w:id="4"/>
    </w:p>
    <w:p>
      <w:pPr>
        <w:pStyle w:val="Note"/>
      </w:pPr>
      <w:bookmarkStart w:id="5" w:name="Note5"/>
      <w:r>
        <w:rPr/>
        <w:t xml:space="preserve">5. </w:t>
      </w:r>
      <w:r>
        <w:rPr/>
        <w:t xml:space="preserve">С. П. Тимошенко. Воспоминания. Раздел «Поездка в Европу летом 1904 года», P00238–P00239 электронного текста: свидетельство хоспитанта и допуск к занятиям Феппля. Условия приёма других посетителей из этого личного свидетельства не устанавливаются.</w:t>
      </w:r>
      <w:bookmarkEnd w:id="5"/>
    </w:p>
    <w:sectPr>
      <w:footerReference w:type="default" r:id="footer"/>
      <w:pgSz w:w="11906" w:h="16838"/>
      <w:pgMar w:top="1276" w:right="1361" w:bottom="1276" w:left="1361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lang w:val="ru-RU"/>
      </w:rPr>
    </w:rPrDefault>
  </w:docDefaults>
  <w:style w:type="paragraph" w:styleId="Normal" w:default="1">
    <w:name w:val="Normal"/>
    <w:pPr>
      <w:spacing w:before="0" w:after="120" w:line="312" w:lineRule="auto"/>
      <w:widowControl/>
    </w:pPr>
    <w:rPr>
      <w:sz w:val="24"/>
    </w:rPr>
  </w:style>
  <w:style w:type="paragraph" w:styleId="Title">
    <w:name w:val="Title"/>
    <w:pPr>
      <w:spacing w:before="0" w:after="240" w:line="312" w:lineRule="auto"/>
      <w:widowControl/>
      <w:keepNext/>
    </w:pPr>
    <w:rPr>
      <w:sz w:val="40"/>
      <w:b/>
    </w:rPr>
  </w:style>
  <w:style w:type="paragraph" w:styleId="Subtitle">
    <w:name w:val="Subtitle"/>
    <w:pPr>
      <w:spacing w:before="0" w:after="480" w:line="312" w:lineRule="auto"/>
      <w:widowControl/>
      <w:keepNext/>
    </w:pPr>
    <w:rPr>
      <w:sz w:val="20"/>
      <w:color w:val="666666"/>
    </w:rPr>
  </w:style>
  <w:style w:type="paragraph" w:styleId="Heading1">
    <w:name w:val="Heading1"/>
    <w:pPr>
      <w:spacing w:before="360" w:after="180" w:line="312" w:lineRule="auto"/>
      <w:widowControl/>
      <w:keepNext/>
      <w:outlineLvl w:val="0"/>
    </w:pPr>
    <w:rPr>
      <w:sz w:val="30"/>
      <w:b/>
    </w:rPr>
  </w:style>
  <w:style w:type="paragraph" w:styleId="Heading2">
    <w:name w:val="Heading2"/>
    <w:pPr>
      <w:spacing w:before="280" w:after="150" w:line="312" w:lineRule="auto"/>
      <w:widowControl/>
      <w:keepNext/>
      <w:outlineLvl w:val="1"/>
    </w:pPr>
    <w:rPr>
      <w:sz w:val="26"/>
      <w:b/>
    </w:rPr>
  </w:style>
  <w:style w:type="paragraph" w:styleId="Separator">
    <w:name w:val="Separator"/>
    <w:pPr>
      <w:spacing w:before="150" w:after="200" w:line="312" w:lineRule="auto"/>
      <w:widowControl/>
      <w:jc w:val="center"/>
    </w:pPr>
    <w:rPr>
      <w:sz w:val="24"/>
    </w:rPr>
  </w:style>
  <w:style w:type="character" w:styleId="Hyperlink">
    <w:name w:val="Hyperlink"/>
    <w:rPr>
      <w:color w:val="315D82"/>
      <w:u w:val="single"/>
    </w:rPr>
  </w:style>
  <w:style w:type="paragraph" w:styleId="Note">
    <w:basedOn w:val="Normal"/>
    <w:rPr>
      <w:sz w:val="20"/>
    </w:rPr>
  </w:style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 /><Relationship Id="footer" Type="http://schemas.openxmlformats.org/officeDocument/2006/relationships/footer" Target="footer1.xml" /><Relationship Id="link1" Type="http://schemas.openxmlformats.org/officeDocument/2006/relationships/hyperlink" Target="https://royallib.com/book/timoshenko_stepan/vospominaniya.html" TargetMode="External" /><Relationship Id="link2" Type="http://schemas.openxmlformats.org/officeDocument/2006/relationships/hyperlink" Target="https://lib.ru/MEMUARY/KERBER/tupolewskaya_sharaga.txt" TargetMode="External" /></Relationships>
</file>