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Relationships xmlns="http://schemas.openxmlformats.org/package/2006/relationships"><Relationship Id="document"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w:body>
    <w:p>
      <w:pPr>
        <w:pStyle w:val="Title"/>
      </w:pPr>
      <w:r>
        <w:rPr/>
        <w:t xml:space="preserve">Глава 11. Кто оплачивает право пробовать</w:t>
      </w:r>
    </w:p>
    <w:p>
      <w:pPr>
        <w:pStyle w:val="Subtitle"/>
      </w:pPr>
      <w:r>
        <w:rPr/>
        <w:t xml:space="preserve">Право на решение · версия 8.0</w:t>
      </w:r>
    </w:p>
    <w:p>
      <w:pPr>
        <w:pStyle w:val="Normal"/>
      </w:pPr>
      <w:r>
        <w:rPr/>
        <w:t xml:space="preserve">Успешная добыча может лишить добывающее предприятие прежнего основания прибыли.</w:t>
      </w:r>
    </w:p>
    <w:p>
      <w:pPr>
        <w:pStyle w:val="Normal"/>
      </w:pPr>
      <w:r>
        <w:rPr/>
        <w:t xml:space="preserve">Изменим одно условие нашего сценария: несколько независимых поставщиков получили доступ к общей инфраструктуре и увеличили предложение воды. Первая поставка остаётся принятой на прежних условиях. Теперь нас интересует экономика последующих вложений.</w:t>
      </w:r>
    </w:p>
    <w:p>
      <w:pPr>
        <w:pStyle w:val="Normal"/>
      </w:pPr>
      <w:r>
        <w:rPr/>
        <w:t xml:space="preserve">Если предложение растёт быстрее платёжеспособного спроса и поставщики конкурируют, цена может снизиться. При удвоении продаж и падении цены вдвое выручка останется прежней. Между тем большее количество продукта ещё нужно произвести и доставить. Успех покупателя, получающего дешёвую воду, может оказаться неуспехом инвестора, рассчитывавшего на доход от её редкости.</w:t>
      </w:r>
    </w:p>
    <w:p>
      <w:pPr>
        <w:pStyle w:val="Normal"/>
      </w:pPr>
      <w:r>
        <w:rPr/>
        <w:t xml:space="preserve">Это изменение вопроса: за что теперь будут платить?</w:t>
      </w:r>
    </w:p>
    <w:p>
      <w:pPr>
        <w:pStyle w:val="Normal"/>
      </w:pPr>
      <w:r>
        <w:rPr/>
        <w:t xml:space="preserve">Один доход связан с веществом, другой — с доставкой в нужное место и время, третий — с готовностью предоставить ограниченную мощность. Надёжная перевозка или испытательная база могут оставаться дорогими после удешевления продукта. Часть дохода перемещается к этим звеньям. Пользователям может оказаться выгоднее вместе содержать доступную инфраструктуру, чем покупать всю цепь у единственного продавца.</w:t>
      </w:r>
    </w:p>
    <w:p>
      <w:pPr>
        <w:pStyle w:val="Normal"/>
      </w:pPr>
      <w:r>
        <w:rPr/>
        <w:t xml:space="preserve">Для развития людей это трудный поворот. Школа, которая выращивает самостоятельных производителей, способна обесценить модель собственного спонсора. Ей удалось то, ради чего она была создана. Прежняя причина её оплачивать исчезает.</w:t>
      </w:r>
    </w:p>
    <w:p>
      <w:pPr>
        <w:pStyle w:val="Normal"/>
      </w:pPr>
      <w:r>
        <w:rPr/>
        <w:t xml:space="preserve">В письме Резерфорду от 16 апреля 1930 года Капица разбирает иную, историческую форму разрыва между успехом и продолжением. Магнитные исследования дали результаты, аппаратура открывала новые области работы. Однако лаборатория сохраняла временный статус. Субсидия заканчивалась через три года, выделенных средств уже не хватало на растущие расходы, свободная площадь была занята.</w:t>
      </w:r>
      <w:hyperlink w:anchor="Note1" w:history="1">
        <w:r>
          <w:rPr>
            <w:rStyle w:val="Hyperlink"/>
          </w:rPr>
          <w:t xml:space="preserve">[1]</w:t>
        </w:r>
      </w:hyperlink>
    </w:p>
    <w:p>
      <w:pPr>
        <w:pStyle w:val="Normal"/>
      </w:pPr>
      <w:r>
        <w:rPr/>
        <w:t xml:space="preserve">Капица не ограничивается просьбой признать ценность науки. Он рассматривает организации, от которых могло зависеть продолжение. Университет мог счесть работу недостаточно связанной с обучением; поддержка на постоянной основе могла не войти в обычные задачи Департамента научно-технических исследований. Упомянуты другие возможные источники, включая Рокфеллеровский фонд. Их согласия письмо не устанавливает.</w:t>
      </w:r>
    </w:p>
    <w:p>
      <w:pPr>
        <w:pStyle w:val="Normal"/>
      </w:pPr>
      <w:r>
        <w:rPr/>
        <w:t xml:space="preserve">В конце вопрос возвращается к прибору. Водородный ожижитель работает; можно приступать к гелиевому. Но Капица предлагает отложить новую разработку до решения организационных вопросов. У технического продолжения появилась пауза, которую не устранить ещё одним удачным экспериментом.</w:t>
      </w:r>
    </w:p>
    <w:p>
      <w:pPr>
        <w:pStyle w:val="Normal"/>
      </w:pPr>
      <w:r>
        <w:rPr/>
        <w:t xml:space="preserve">Цена развития изменила круг тех, кто способен и готов его поддерживать. Этот механизм понадобится и нам, хотя наша школа не является ни лабораторией Капицы, ни её историческим продолжением.</w:t>
      </w:r>
    </w:p>
    <w:p>
      <w:pPr>
        <w:pStyle w:val="Normal"/>
      </w:pPr>
      <w:r>
        <w:rPr/>
        <w:t xml:space="preserve">Соберём отдельную земную модель общего испытательного узла. Это условный расчёт, не смета космической добычи и не бюджет образовательного пилота, к которому мы придём позже. Предположим, первоначальный спонсор передал установленное оборудование стоимостью шесть миллионов рублей в собственность объединению участников. Передал без долга и обязанности вернуть капитал. Затем ушёл: его прежний интерес к подготовке новых производителей исчерпан. Будущих взносов от него нет.</w:t>
      </w:r>
    </w:p>
    <w:p>
      <w:pPr>
        <w:pStyle w:val="Normal"/>
      </w:pPr>
      <w:r>
        <w:rPr/>
        <w:t xml:space="preserve">Такой дар объясняет, откуда взялся первый актив. Он ещё не объясняет, на что узел проживёт и чем заменит изношенную установку.</w:t>
      </w:r>
    </w:p>
    <w:p>
      <w:pPr>
        <w:pStyle w:val="Normal"/>
      </w:pPr>
      <w:r>
        <w:rPr/>
        <w:t xml:space="preserve">В году доступно 1 200 часов. Из них 900 продаются внешним заказчикам, 200 оставлены для безопасных проб новых команд, 100 — для обслуживания и резерва. Условная цена сервисного часа — десять тысяч рублей. Оплаченные заказы дают девять миллионов. Эксплуатация всей этой мощности требует шести миллионов, ещё 1,2 миллиона ежегодно откладывается на замену оборудования. После этого у оператора остаётся 1,8 миллиона.</w:t>
      </w:r>
      <w:hyperlink w:anchor="Note2" w:history="1">
        <w:r>
          <w:rPr>
            <w:rStyle w:val="Hyperlink"/>
          </w:rPr>
          <w:t xml:space="preserve">[2]</w:t>
        </w:r>
      </w:hyperlink>
    </w:p>
    <w:p>
      <w:pPr>
        <w:pStyle w:val="Normal"/>
      </w:pPr>
      <w:r>
        <w:rPr/>
        <w:t xml:space="preserve">Он может направить остаток собственникам, улучшить услугу, снизить будущий тариф или поддержать другое дело. Новички ещё не приобрели на него права. Для оплаты их освоения требуется отдельное решение.</w:t>
      </w:r>
    </w:p>
    <w:p>
      <w:pPr>
        <w:pStyle w:val="Normal"/>
      </w:pPr>
      <w:r>
        <w:rPr/>
        <w:t xml:space="preserve">Предположим, прежние и потенциальные участники создали самостоятельное объединение. Они ценят возможность учиться, возвращаться к сложной работе и открывать её другим. Из располагаемых доходов вне программы они готовы внести миллион рублей на следующий год. Представители совладельцев узла выбирают добавить ещё миллион из своего остатка. Вместе эти деньги оплачивают помощь, независимую оценку, поддержку участников и передачу работы при выходе.</w:t>
      </w:r>
    </w:p>
    <w:p>
      <w:pPr>
        <w:pStyle w:val="Normal"/>
      </w:pPr>
      <w:r>
        <w:rPr/>
        <w:t xml:space="preserve">Баланс одного года теперь выглядит так:</w:t>
      </w:r>
    </w:p>
    <w:tbl>
      <w:tblPr>
        <w:tblW w:w="0" w:type="auto"/>
        <w:tblBorders>
          <w:top w:val="single" w:sz="4" w:color="CCCCCC"/>
          <w:left w:val="single" w:sz="4" w:color="CCCCCC"/>
          <w:bottom w:val="single" w:sz="4" w:color="CCCCCC"/>
          <w:right w:val="single" w:sz="4" w:color="CCCCCC"/>
          <w:insideH w:val="single" w:sz="4" w:color="CCCCCC"/>
          <w:insideV w:val="single" w:sz="4" w:color="CCCCCC"/>
        </w:tblBorders>
      </w:tblPr>
      <w:tr>
        <w:trPr>
          <w:cantSplit/>
          <w:tblHeader/>
        </w:trPr>
        <w:tc>
          <w:p>
            <w:pPr>
              <w:pStyle w:val="Normal"/>
            </w:pPr>
            <w:r>
              <w:rPr>
                <w:b/>
              </w:rPr>
              <w:t xml:space="preserve">Поступление или назначение</w:t>
            </w:r>
          </w:p>
        </w:tc>
        <w:tc>
          <w:p>
            <w:pPr>
              <w:pStyle w:val="Normal"/>
            </w:pPr>
            <w:r>
              <w:rPr>
                <w:b/>
              </w:rPr>
              <w:t xml:space="preserve">Миллионов рублей</w:t>
            </w:r>
          </w:p>
        </w:tc>
      </w:tr>
      <w:tr>
        <w:trPr>
          <w:cantSplit/>
        </w:trPr>
        <w:tc>
          <w:p>
            <w:pPr>
              <w:pStyle w:val="Normal"/>
            </w:pPr>
            <w:r>
              <w:rPr/>
              <w:t xml:space="preserve">Оплаченные внешние услуги</w:t>
            </w:r>
          </w:p>
        </w:tc>
        <w:tc>
          <w:p>
            <w:pPr>
              <w:pStyle w:val="Normal"/>
            </w:pPr>
            <w:r>
              <w:rPr/>
              <w:t xml:space="preserve">9,0</w:t>
            </w:r>
          </w:p>
        </w:tc>
      </w:tr>
      <w:tr>
        <w:trPr>
          <w:cantSplit/>
        </w:trPr>
        <w:tc>
          <w:p>
            <w:pPr>
              <w:pStyle w:val="Normal"/>
            </w:pPr>
            <w:r>
              <w:rPr/>
              <w:t xml:space="preserve">Взнос объединения</w:t>
            </w:r>
          </w:p>
        </w:tc>
        <w:tc>
          <w:p>
            <w:pPr>
              <w:pStyle w:val="Normal"/>
            </w:pPr>
            <w:r>
              <w:rPr/>
              <w:t xml:space="preserve">1,0</w:t>
            </w:r>
          </w:p>
        </w:tc>
      </w:tr>
      <w:tr>
        <w:trPr>
          <w:cantSplit/>
        </w:trPr>
        <w:tc>
          <w:p>
            <w:pPr>
              <w:pStyle w:val="Normal"/>
            </w:pPr>
            <w:r>
              <w:rPr/>
              <w:t xml:space="preserve">Эксплуатация</w:t>
            </w:r>
          </w:p>
        </w:tc>
        <w:tc>
          <w:p>
            <w:pPr>
              <w:pStyle w:val="Normal"/>
            </w:pPr>
            <w:r>
              <w:rPr/>
              <w:t xml:space="preserve">−6,0</w:t>
            </w:r>
          </w:p>
        </w:tc>
      </w:tr>
      <w:tr>
        <w:trPr>
          <w:cantSplit/>
        </w:trPr>
        <w:tc>
          <w:p>
            <w:pPr>
              <w:pStyle w:val="Normal"/>
            </w:pPr>
            <w:r>
              <w:rPr/>
              <w:t xml:space="preserve">Помощь, оценка, поддержка участников и выход</w:t>
            </w:r>
          </w:p>
        </w:tc>
        <w:tc>
          <w:p>
            <w:pPr>
              <w:pStyle w:val="Normal"/>
            </w:pPr>
            <w:r>
              <w:rPr/>
              <w:t xml:space="preserve">−2,0</w:t>
            </w:r>
          </w:p>
        </w:tc>
      </w:tr>
      <w:tr>
        <w:trPr>
          <w:cantSplit/>
        </w:trPr>
        <w:tc>
          <w:p>
            <w:pPr>
              <w:pStyle w:val="Normal"/>
            </w:pPr>
            <w:r>
              <w:rPr/>
              <w:t xml:space="preserve">Резерв замены оборудования</w:t>
            </w:r>
          </w:p>
        </w:tc>
        <w:tc>
          <w:p>
            <w:pPr>
              <w:pStyle w:val="Normal"/>
            </w:pPr>
            <w:r>
              <w:rPr/>
              <w:t xml:space="preserve">−1,2</w:t>
            </w:r>
          </w:p>
        </w:tc>
      </w:tr>
      <w:tr>
        <w:trPr>
          <w:cantSplit/>
        </w:trPr>
        <w:tc>
          <w:p>
            <w:pPr>
              <w:pStyle w:val="Normal"/>
            </w:pPr>
            <w:r>
              <w:rPr>
                <w:b/>
              </w:rPr>
              <w:t xml:space="preserve">Свободный остаток</w:t>
            </w:r>
          </w:p>
        </w:tc>
        <w:tc>
          <w:p>
            <w:pPr>
              <w:pStyle w:val="Normal"/>
            </w:pPr>
            <w:r>
              <w:rPr>
                <w:b/>
              </w:rPr>
              <w:t xml:space="preserve">0,8</w:t>
            </w:r>
          </w:p>
        </w:tc>
      </w:tr>
    </w:tbl>
    <w:p>
      <w:pPr>
        <w:pStyle w:val="Normal"/>
      </w:pPr>
      <w:r>
        <w:rPr/>
        <w:t xml:space="preserve">Два миллиона помощи включают миллион оператора; вычитать его ещё раз нельзя. Работа установки в течение двухсот часов уже входит в эксплуатацию. Эти часы не проданы одновременно другому заказчику.</w:t>
      </w:r>
    </w:p>
    <w:p>
      <w:pPr>
        <w:pStyle w:val="Normal"/>
      </w:pPr>
      <w:r>
        <w:rPr/>
        <w:t xml:space="preserve">Проследим, что происходит при следующем продлении. Сначала покупатели снова заказывают испытания. Их деньги приходят из собственных бюджетов: им нужна услуга с определёнными качеством, ценой и сроком. Они оплачивают работу узла, а не благодарят школу за прежние достижения.</w:t>
      </w:r>
    </w:p>
    <w:p>
      <w:pPr>
        <w:pStyle w:val="Normal"/>
      </w:pPr>
      <w:r>
        <w:rPr/>
        <w:t xml:space="preserve">Затем объединение предлагает свой миллион. За ним стоит проверяемый предмет: двести часов внешних проб, доступная подготовка и результаты, с которыми можно продолжить в другом месте. Членство в объединении и взнос не становятся условием подачи заявки. Подходящая новая команда может прийти снаружи. Ей предстоит обосновать задачу и допустимость пробы; требовать уже имеющейся репутации выпускника означало бы закрыть именно тот вход, за который платят.</w:t>
      </w:r>
    </w:p>
    <w:p>
      <w:pPr>
        <w:pStyle w:val="Normal"/>
      </w:pPr>
      <w:r>
        <w:rPr/>
        <w:t xml:space="preserve">Наконец, совладельцы решают, готовы ли они снова выделить свой миллион и время установки. Они видят полную цену решения. При наличии дополнительных платёжеспособных заказов эти двести часов могли бы дать до двух миллионов валовой выручки. Если таких заказов нет, считать их потерянной выручкой было бы выдумкой. Но и тогда человеческая помощь отнимает миллион, которым собственники могли распорядиться иначе.</w:t>
      </w:r>
    </w:p>
    <w:p>
      <w:pPr>
        <w:pStyle w:val="Normal"/>
      </w:pPr>
      <w:r>
        <w:rPr/>
        <w:t xml:space="preserve">Согласие всех трёх сторон обеспечивает очередной год. У каждого согласия свой предмет и своё основание. Пока действуют оплаченные обязательства, их надо исполнять; следующего года они автоматически не покупают.</w:t>
      </w:r>
    </w:p>
    <w:p>
      <w:pPr>
        <w:pStyle w:val="Normal"/>
      </w:pPr>
      <w:r>
        <w:rPr/>
        <w:t xml:space="preserve">Если те же условия возобновятся пять раз, резерв замены накопит шесть миллионов. На них приобретается новая установка, резерв обнуляется; свободных денег за пять лет остаётся четыре миллиона. Первоначальный подарок не потребовался второй раз. В пределах модели узел восстановил оборудование, оплатил человеческую программу и сохранил остаток.</w:t>
      </w:r>
    </w:p>
    <w:p>
      <w:pPr>
        <w:pStyle w:val="Normal"/>
      </w:pPr>
      <w:r>
        <w:rPr/>
        <w:t xml:space="preserve">Теперь можно увидеть, что именно удалось замкнуть. Денежный поток способен оплатить следующий вход после ухода спонсора. Для этого не понадобилась прибыль от будущих изобретений новичков. Потребовались продаваемая услуга, отдельный взнос людей, ценящих освоение, и решение владельцев разделить его цену.</w:t>
      </w:r>
    </w:p>
    <w:p>
      <w:pPr>
        <w:pStyle w:val="Normal"/>
      </w:pPr>
      <w:r>
        <w:rPr/>
        <w:t xml:space="preserve">Пять одинаковых строк в расчёте, однако, не являются пятью решениями людей.</w:t>
      </w:r>
    </w:p>
    <w:p>
      <w:pPr>
        <w:pStyle w:val="Normal"/>
      </w:pPr>
      <w:r>
        <w:rPr/>
        <w:t xml:space="preserve">Допустим, удачные пробы дали новых поставщиков. У покупателей расширился выбор. Но зачем им финансировать человеческую подготовку, если новые машинные организации предлагают ещё более надёжную услугу? При нашем сильном допущении ИИ может создавать предприятия и без школы. Конкуренция сохранится, зависимость от первого продавца уменьшится, а становление людей перестанет быть необходимым для обеих выгод.</w:t>
      </w:r>
    </w:p>
    <w:p>
      <w:pPr>
        <w:pStyle w:val="Normal"/>
      </w:pPr>
      <w:r>
        <w:rPr/>
        <w:t xml:space="preserve">Тогда человеческая часть бюджета держится на том, что две другие стороны ценят её саму и готовы платить. Это не недостаток, который следует скрыть новым доказательством человеческой незаменимости. Это назначение средств, о котором им предстоит договориться. Помощь может иметь самостоятельную ценность, не становясь требованием к любому успешному собственнику.</w:t>
      </w:r>
    </w:p>
    <w:p>
      <w:pPr>
        <w:pStyle w:val="Normal"/>
      </w:pPr>
      <w:r>
        <w:rPr/>
        <w:t xml:space="preserve">Рассмотрим законный отказ. Совладельцы решают не поддерживать следующий набор. Встречного миллиона объединение тоже не вносит. Уже принятая группа завершает обещанную работу, а новая не появляется. При прежних девяти миллионах заказов после эксплуатации и резерва у оператора остаётся 1,8 миллиона. Если дополнительно проданы освободившиеся двести часов — 3,8 миллиона. Второй исход требует действительного спроса.</w:t>
      </w:r>
    </w:p>
    <w:p>
      <w:pPr>
        <w:pStyle w:val="Normal"/>
      </w:pPr>
      <w:r>
        <w:rPr/>
        <w:t xml:space="preserve">Установка исправна. Заказчики довольны. Владельцы получают больше средств или направляют их на более важную для них задачу. Школа перестала открывать вход без хищения, обмана и технической неудачи.</w:t>
      </w:r>
    </w:p>
    <w:p>
      <w:pPr>
        <w:pStyle w:val="Normal"/>
      </w:pPr>
      <w:r>
        <w:rPr/>
        <w:t xml:space="preserve">Есть и менее благополучная причина остановки. Если оплачены только семьсот сервисных часов, поступит семь миллионов, а эксплуатация и замена по прежнему плану требуют 7,2. Дефицит возникает ещё до нового набора. Свободные накопления помогут пережить паузу, но это расход запаса. Понадобятся иная цена, меньшие затраты, другой заказ или новый явный вклад. Изъять деньги из резерва и сохранить прежнее обещание заменить установку нельзя.</w:t>
      </w:r>
    </w:p>
    <w:p>
      <w:pPr>
        <w:pStyle w:val="Normal"/>
      </w:pPr>
      <w:r>
        <w:rPr/>
        <w:t xml:space="preserve">У открытого порядка поэтому два разных испытания. Бывает, что люди хотят продолжать, а средств не хватает. Бывает, что средства есть, но они выбирают другое назначение. Хороший расчёт помогает различить эти положения; он не превращает второе в первое, чтобы объявить отказ неизбежным, и не превращает первое во второе, чтобы обвинить плательщика в отсутствии доброй воли.</w:t>
      </w:r>
    </w:p>
    <w:p>
      <w:pPr>
        <w:pStyle w:val="Normal"/>
      </w:pPr>
      <w:r>
        <w:rPr/>
        <w:t xml:space="preserve">На общественном масштабе эти решения тоже требуют источника. Если фонд оплаты труда сокращается, прежнее финансирование из связанных с ним поступлений может ослабеть. Автоматизированный выпуск способен расти одновременно с этой потерей. Доходы от приобретённых активов, добровольные взносы, общественные услуги и обязательные платежи создают разные отношения между получателем и плательщиком. Рост машинной прибыли сам по себе не переводит её в общий бюджет.</w:t>
      </w:r>
    </w:p>
    <w:p>
      <w:pPr>
        <w:pStyle w:val="Normal"/>
      </w:pPr>
      <w:r>
        <w:rPr/>
        <w:t xml:space="preserve">Обязательное общественное финансирование может быть предложено ради доступного пути к самостоятельной деятельности. Но его надо обосновывать перед теми, кто платит и предпочёл бы другое применение средств: какую возможность оно сохраняет, почему добровольных способов недостаточно, как ограничены расходы и власть распорядителя. Одной желательности образования для этого мало. Столь же мало назвать выплату человеку доказательством того, что ему доступны оборудование и право начать собственную работу.</w:t>
      </w:r>
    </w:p>
    <w:p>
      <w:pPr>
        <w:pStyle w:val="Normal"/>
      </w:pPr>
      <w:r>
        <w:rPr/>
        <w:t xml:space="preserve">Мы получили возможную коалицию продолжения, а вместе с ней — объяснение её распада. Она существует, пока конкретные стороны возобновляют конкретный обмен и поддержку. Появившиеся благодаря ей предприятия могут укрепить эту связь, а могут сделать её менее выгодной. Успех больше не служит обещанием следующего успеха.</w:t>
      </w:r>
    </w:p>
    <w:p>
      <w:pPr>
        <w:pStyle w:val="Normal"/>
      </w:pPr>
      <w:r>
        <w:rPr/>
        <w:t xml:space="preserve">Теперь предстоит проверить другое. Даже если деньги и двести часов вновь выделены, кому они достанутся? Старые участники уже умеют показывать хороший результат. Именно это может сделать их самыми убедительными претендентами на средства, предназначенные для появления новых.</w:t>
      </w:r>
    </w:p>
    <w:p>
      <w:pPr>
        <w:pStyle w:val="Heading1"/>
      </w:pPr>
      <w:r>
        <w:rPr/>
        <w:t xml:space="preserve">Источники и примечания</w:t>
      </w:r>
    </w:p>
    <w:p>
      <w:pPr>
        <w:pStyle w:val="Note"/>
      </w:pPr>
      <w:bookmarkStart w:id="1" w:name="Note1"/>
      <w:r>
        <w:rPr/>
        <w:t xml:space="preserve">1. </w:t>
      </w:r>
      <w:r>
        <w:rPr/>
        <w:t xml:space="preserve">П. Л. Капица. «Письма о науке», письмо Э. Резерфорду, Кембридж, 16 апреля 1930 года. Использованы фрагменты о временном статусе лаборатории, сроке субсидии и помещении; возможных основаниях поддержки университета, Департамента научно-технических исследований и иных организаций; решении отложить гелиевый ожижитель до прояснения условий. В издании письмо дано в переводе с английского. Обсуждавшиеся источники поддержки не объявлены полученными, предложение о переносе оборудования — состоявшимся переносом.</w:t>
      </w:r>
      <w:bookmarkEnd w:id="1"/>
    </w:p>
    <w:p>
      <w:pPr>
        <w:pStyle w:val="Note"/>
      </w:pPr>
      <w:bookmarkStart w:id="2" w:name="Note2"/>
      <w:r>
        <w:rPr/>
        <w:t xml:space="preserve">2. </w:t>
      </w:r>
      <w:r>
        <w:rPr/>
        <w:t xml:space="preserve">Все суммы модели — миллионы рублей в постоянных условных ценах. Эксплуатация шесть миллионов принята достаточной для 1 100 продуктивных часов; человеческие два миллиона условно включают помощь 1,2, оценку 0,3, поддержку и выход 0,5. Первоначальный актив передан безвозмездно, новая установка за шесть миллионов приобретается в конце пятого года. Налоги, инфляция, неплатежи и дисконтирование не оценены; отсутствие кассовых разрывов предполагает обеспеченные средства перед набором. Расчёт устанавливает арифметическую возможность при заданных условиях, не рыночную состоятельность или число людей, которых удастся подготовить. Права, организации и соглашения — условия мысленного эксперимента, не действующие договоры.</w:t>
      </w:r>
      <w:bookmarkEnd w:id="2"/>
    </w:p>
    <w:sectPr>
      <w:footerReference w:type="default" r:id="footer"/>
      <w:pgSz w:w="11906" w:h="16838"/>
      <w:pgMar w:top="1276" w:right="1361" w:bottom="1276" w:left="1361" w:header="567" w:footer="567" w:gutter="0"/>
    </w:sectPr>
  </w:body>
</w:document>
</file>

<file path=word/footer1.xml><?xml version="1.0" encoding="utf-8"?>
<w:ftr xmlns:w="http://schemas.openxmlformats.org/wordprocessingml/2006/main">
  <w:p>
    <w:pPr>
      <w:jc w:val="center"/>
    </w:pPr>
    <w:fldSimple w:instr="PAGE">
      <w:r>
        <w:t>1</w:t>
      </w:r>
    </w:fldSimple>
  </w:p>
</w:ftr>
</file>

<file path=word/styles.xml><?xml version="1.0" encoding="utf-8"?>
<w:styles xmlns:w="http://schemas.openxmlformats.org/wordprocessingml/2006/main">
  <w:docDefaults>
    <w:rPrDefault>
      <w:rPr>
        <w:rFonts w:ascii="Georgia" w:hAnsi="Georgia" w:cs="Georgia"/>
        <w:sz w:val="24"/>
        <w:lang w:val="ru-RU"/>
      </w:rPr>
    </w:rPrDefault>
  </w:docDefaults>
  <w:style w:type="paragraph" w:styleId="Normal" w:default="1">
    <w:name w:val="Normal"/>
    <w:pPr>
      <w:spacing w:before="0" w:after="120" w:line="312" w:lineRule="auto"/>
      <w:widowControl/>
    </w:pPr>
    <w:rPr>
      <w:sz w:val="24"/>
    </w:rPr>
  </w:style>
  <w:style w:type="paragraph" w:styleId="Title">
    <w:name w:val="Title"/>
    <w:pPr>
      <w:spacing w:before="0" w:after="240" w:line="312" w:lineRule="auto"/>
      <w:widowControl/>
      <w:keepNext/>
    </w:pPr>
    <w:rPr>
      <w:sz w:val="40"/>
      <w:b/>
    </w:rPr>
  </w:style>
  <w:style w:type="paragraph" w:styleId="Subtitle">
    <w:name w:val="Subtitle"/>
    <w:pPr>
      <w:spacing w:before="0" w:after="480" w:line="312" w:lineRule="auto"/>
      <w:widowControl/>
      <w:keepNext/>
    </w:pPr>
    <w:rPr>
      <w:sz w:val="20"/>
      <w:color w:val="666666"/>
    </w:rPr>
  </w:style>
  <w:style w:type="paragraph" w:styleId="Heading1">
    <w:name w:val="Heading1"/>
    <w:pPr>
      <w:spacing w:before="360" w:after="180" w:line="312" w:lineRule="auto"/>
      <w:widowControl/>
      <w:keepNext/>
      <w:outlineLvl w:val="0"/>
    </w:pPr>
    <w:rPr>
      <w:sz w:val="30"/>
      <w:b/>
    </w:rPr>
  </w:style>
  <w:style w:type="paragraph" w:styleId="Heading2">
    <w:name w:val="Heading2"/>
    <w:pPr>
      <w:spacing w:before="280" w:after="150" w:line="312" w:lineRule="auto"/>
      <w:widowControl/>
      <w:keepNext/>
      <w:outlineLvl w:val="1"/>
    </w:pPr>
    <w:rPr>
      <w:sz w:val="26"/>
      <w:b/>
    </w:rPr>
  </w:style>
  <w:style w:type="paragraph" w:styleId="Separator">
    <w:name w:val="Separator"/>
    <w:pPr>
      <w:spacing w:before="150" w:after="200" w:line="312" w:lineRule="auto"/>
      <w:widowControl/>
      <w:jc w:val="center"/>
    </w:pPr>
    <w:rPr>
      <w:sz w:val="24"/>
    </w:rPr>
  </w:style>
  <w:style w:type="character" w:styleId="Hyperlink">
    <w:name w:val="Hyperlink"/>
    <w:rPr>
      <w:color w:val="315D82"/>
      <w:u w:val="single"/>
    </w:rPr>
  </w:style>
  <w:style w:type="paragraph" w:styleId="Note">
    <w:basedOn w:val="Normal"/>
    <w:rPr>
      <w:sz w:val="20"/>
    </w:rPr>
  </w:style>
</w:styles>
</file>

<file path=word/_rels/document.xml.rels><?xml version='1.0' encoding='utf-8'?>
<Relationships xmlns="http://schemas.openxmlformats.org/package/2006/relationships"><Relationship Id="styles" Type="http://schemas.openxmlformats.org/officeDocument/2006/relationships/styles" Target="styles.xml" /><Relationship Id="footer" Type="http://schemas.openxmlformats.org/officeDocument/2006/relationships/footer" Target="footer1.xml" /></Relationships>
</file>