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12. Кто может изменить правила</w:t>
      </w:r>
    </w:p>
    <w:p>
      <w:pPr>
        <w:pStyle w:val="Subtitle"/>
      </w:pPr>
      <w:r>
        <w:rPr/>
        <w:t xml:space="preserve">Право на решение · версия 8.0</w:t>
      </w:r>
    </w:p>
    <w:p>
      <w:pPr>
        <w:pStyle w:val="Normal"/>
      </w:pPr>
      <w:r>
        <w:rPr/>
        <w:t xml:space="preserve">Отказ может быть совершенно правильным — и обнаруживать непригодность самого правила.</w:t>
      </w:r>
    </w:p>
    <w:p>
      <w:pPr>
        <w:pStyle w:val="Normal"/>
      </w:pPr>
      <w:r>
        <w:rPr/>
        <w:t xml:space="preserve">Представим, что будущие окна космического приёмного узла распределяются с учётом объёма прежних подтверждённых поставок. Опыт уменьшает неизвестность; надёжный поставщик даёт больше оснований рассчитывать на продолжение. Новая команда проигрывает отбор. Расчёт ей объясняют, независимый проверяющий подтверждает решение. Ошибки нет.</w:t>
      </w:r>
    </w:p>
    <w:p>
      <w:pPr>
        <w:pStyle w:val="Normal"/>
      </w:pPr>
      <w:r>
        <w:rPr/>
        <w:t xml:space="preserve">Но чтобы получить подтверждённую поставку, нужно пройти через узел. Если прежний объём определяет доступ ко всему будущему времени, у новичка не появится требуемого основания. Прозрачность помогает понять, почему он останется снаружи. Отсутствие первого результата снова становится причиной не дать возможности его получить.</w:t>
      </w:r>
    </w:p>
    <w:p>
      <w:pPr>
        <w:pStyle w:val="Normal"/>
      </w:pPr>
      <w:r>
        <w:rPr/>
        <w:t xml:space="preserve">Это правило может хорошо решать задачу срочного снабжения. Проблема возникает, когда тот же порядок предъявляют как путь появления новых поставщиков. Оценивать надо то обещание, ради которого его приняли. Если владельцы содержат установку исключительно для собственного производства, посторонний замысел не даёт права отнять её время. Если они получили средства на внешний вход и приняли соответствующие обязательства, точность внутреннего расчёта этих обязательств не отменяет.</w:t>
      </w:r>
    </w:p>
    <w:p>
      <w:pPr>
        <w:pStyle w:val="Normal"/>
      </w:pPr>
      <w:r>
        <w:rPr/>
        <w:t xml:space="preserve">Обжалование отказа поэтому имеет два разных предмета. Можно требовать правильно применить норму. Можно показать, что правильно применённая норма не выполняет принятого назначения. Во втором случае нужна возможность изменить правило, а не ещё раз безошибочно посчитать места.</w:t>
      </w:r>
    </w:p>
    <w:p>
      <w:pPr>
        <w:pStyle w:val="Normal"/>
      </w:pPr>
      <w:r>
        <w:rPr/>
        <w:t xml:space="preserve">Проверим это на успехе нашей собственной конструкции.</w:t>
      </w:r>
    </w:p>
    <w:p>
      <w:pPr>
        <w:pStyle w:val="Normal"/>
      </w:pPr>
      <w:r>
        <w:rPr/>
        <w:t xml:space="preserve">Первые участники получили помощь, освоили работу, создали самостоятельные предприятия. Теперь у них есть заказы, проверенные результаты и доли в общем узле. Они исполняют обязательства и оплачивают содержание. Новый поток заявок создаёт для них реальное затруднение: время ограничено, незнакомые способы требуют подготовки, любое задержанное испытание затрагивает уже ожидаемый продукт.</w:t>
      </w:r>
    </w:p>
    <w:p>
      <w:pPr>
        <w:pStyle w:val="Normal"/>
      </w:pPr>
      <w:r>
        <w:rPr/>
        <w:t xml:space="preserve">При следующем выборе условий совладельцы повышают значение прошлых результатов. Затем предпочитают продолжительные заказы коротким пробам: так легче планировать загрузку. Потом оставляют меньше времени на предварительную оценку, потому что основной поток вырос. Каждый шаг имеет понятное основание. Вместе они делают первую пробу всё менее достижимой.</w:t>
      </w:r>
    </w:p>
    <w:p>
      <w:pPr>
        <w:pStyle w:val="Normal"/>
      </w:pPr>
      <w:r>
        <w:rPr/>
        <w:t xml:space="preserve">У старых команд накапливается не только репутация. Их процессы определяют, какие приспособления покупать и какие режимы работы поддерживать. Заявка извне требует теперь дополнительной переналадки, которой прежде не требовалось. Отказать ей стало дешевле и технически убедительнее. Результат отбора изменил оборудование; оборудование усилило основания следующего отбора.</w:t>
      </w:r>
    </w:p>
    <w:p>
      <w:pPr>
        <w:pStyle w:val="Normal"/>
      </w:pPr>
      <w:r>
        <w:rPr/>
        <w:t xml:space="preserve">Так школа создателей может стать клубом первых создателей. Его участники не разучились управлять собой. Они научились защищать то, что построили.</w:t>
      </w:r>
    </w:p>
    <w:p>
      <w:pPr>
        <w:pStyle w:val="Normal"/>
      </w:pPr>
      <w:r>
        <w:rPr/>
        <w:t xml:space="preserve">Внешнее объединение, оплачивающее вход, способно этому возразить. У него есть основание требовать согласованную пробу и проверку отказа в пределах уже оплаченного периода. Но если на следующий год совладельцы открыто отказываются от прежней программы, встречный взнос не поступает и текущие обязательства завершены, прежнее обещание не покупает нового года. Независимый проверяющий не может создать ещё одну установку или заставить стороны повторить закончившуюся сделку.</w:t>
      </w:r>
    </w:p>
    <w:p>
      <w:pPr>
        <w:pStyle w:val="Normal"/>
      </w:pPr>
      <w:r>
        <w:rPr/>
        <w:t xml:space="preserve">Это важная граница нашего проекта. Исполнимое право и бессрочная поддержка — разные вещи. Можно добросовестно выполнить первое и затем прекратить вторую.</w:t>
      </w:r>
    </w:p>
    <w:p>
      <w:pPr>
        <w:pStyle w:val="Normal"/>
      </w:pPr>
      <w:r>
        <w:rPr/>
        <w:t xml:space="preserve">Как сделать продолжение менее зависимым от одного такого решения? В нашей модели финансирующее объединение может оплачивать ограниченную мощность на несколько циклов вперёд, если располагает средствами и оператор согласен на срок. Может заказывать подготовительную проверку у другой стороны, чтобы пригодное заключение не исчезало вместе с отказом первого узла. Может совместно приобрести отдельный модуль или договориться с другим оператором. В каждом случае появляется средство действовать вне прежнего круга, а не только ещё одно место за его столом.</w:t>
      </w:r>
    </w:p>
    <w:p>
      <w:pPr>
        <w:pStyle w:val="Normal"/>
      </w:pPr>
      <w:r>
        <w:rPr/>
        <w:t xml:space="preserve">У длительного соглашения есть цена: оно связывает будущую мощность и ограничивает возможность владельцев принять более выгодный заказ. У второй площадки — капитал, обслуживание и риск слабой загрузки. Переносимое заключение полезно лишь там, где его признают и где доступен следующий шаг. Такие варианты приходится сравнивать с прямой покупкой услуги или самостоятельным началом подготовленной команды. Специальная школа не получает преимущества по названию.</w:t>
      </w:r>
    </w:p>
    <w:p>
      <w:pPr>
        <w:pStyle w:val="Normal"/>
      </w:pPr>
      <w:r>
        <w:rPr/>
        <w:t xml:space="preserve">Пока действует внешняя программа, сама принадлежность к оплачивающему объединению не должна становиться входным билетом. Иначе новое объединение просто заменит старый круг новым. Требования к безопасной пробе, её содержательности и допустимым затратам сохраняются. Они позволяют отбирать ограниченное число предложений, не требуя заранее того опыта, который программа как раз помогает приобрести.</w:t>
      </w:r>
    </w:p>
    <w:p>
      <w:pPr>
        <w:pStyle w:val="Normal"/>
      </w:pPr>
      <w:r>
        <w:rPr/>
        <w:t xml:space="preserve">Однако не всякое затруднение решается расширением представительства. Иногда самостоятельность появляется, когда участникам требуется меньше общих разрешений.</w:t>
      </w:r>
    </w:p>
    <w:p>
      <w:pPr>
        <w:pStyle w:val="Normal"/>
      </w:pPr>
      <w:r>
        <w:rPr/>
        <w:t xml:space="preserve">Такой поворот описан в кейсе Егора Давыдова «Два адмирала и один флот». Два промышленных партнёра одновременно участвовали во множестве строительных проектов. Разберём устройство конфликта по представленному описанию; независимого подтверждения обстоятельств у нас нет.</w:t>
      </w:r>
      <w:hyperlink w:anchor="Note1" w:history="1">
        <w:r>
          <w:rPr>
            <w:rStyle w:val="Hyperlink"/>
          </w:rPr>
          <w:t xml:space="preserve">[1]</w:t>
        </w:r>
      </w:hyperlink>
    </w:p>
    <w:p>
      <w:pPr>
        <w:pStyle w:val="Normal"/>
      </w:pPr>
      <w:r>
        <w:rPr/>
        <w:t xml:space="preserve">Одна сторона придавала большее значение инженерной надёжности, другая — стоимости и достаточности решения для будущей эксплуатации. Обе располагали профессиональными основаниями. На стыках работ требовались совместные решения. Дополнительные расчёты помогали каждой стороне убедительнее защищать свой выбор, но не приближали согласие о том, сколько надёжности покупать и за чей счёт.</w:t>
      </w:r>
    </w:p>
    <w:p>
      <w:pPr>
        <w:pStyle w:val="Normal"/>
      </w:pPr>
      <w:r>
        <w:rPr/>
        <w:t xml:space="preserve">Сначала искали более удобный способ согласовывать решения. Поворот произошёл, когда поставили под вопрос саму необходимость согласовывать их в таком количестве. Перестройка дала партнёрам больше самостоятельной ответственности. Уменьшилось число решений, для которых требовалось взаимное одобрение. Они смогли продолжить работу, сохраняя различия в подходах.</w:t>
      </w:r>
    </w:p>
    <w:p>
      <w:pPr>
        <w:pStyle w:val="Normal"/>
      </w:pPr>
      <w:r>
        <w:rPr/>
        <w:t xml:space="preserve">Исход не позволяет объявить одну сторону безусловно правой. По описанию Давыдова, преимущество второй компании на отдельном объекте не повторилось на остальных: там её результаты были хуже или сопоставимы с результатами первой. Конфликт ослаб, стороны выиграли время, однако партнёрство впоследствии прекратилось. Изменение устройства помогло действовать; окончательного ответа о наилучшем способе строительства оно не дало.</w:t>
      </w:r>
    </w:p>
    <w:p>
      <w:pPr>
        <w:pStyle w:val="Normal"/>
      </w:pPr>
      <w:r>
        <w:rPr/>
        <w:t xml:space="preserve">Для нашего вопроса существенно, что новая возможность появилась без предварительного согласия о каждом техническом выборе. Постоянное совместное обсуждение способно отнимать именно ту самостоятельность, ради которой его вводят. Значит, право изменить правила включает и возможность сузить круг решений, которые требуется принимать вместе.</w:t>
      </w:r>
    </w:p>
    <w:p>
      <w:pPr>
        <w:pStyle w:val="Normal"/>
      </w:pPr>
      <w:r>
        <w:rPr/>
        <w:t xml:space="preserve">Границы самостоятельной области при этом нужно согласовать с теми, чьи средства и обязательства она затрагивает. Увеличение свободы подрядчика не должно молча увеличить риск заказчика или посторонних. Разделить полномочия — значит определить также ответственность за стык, на котором одна работа встречается с другой.</w:t>
      </w:r>
    </w:p>
    <w:p>
      <w:pPr>
        <w:pStyle w:val="Normal"/>
      </w:pPr>
      <w:r>
        <w:rPr/>
        <w:t xml:space="preserve">Более сильный ИИ мог бы предложить дополнительные варианты и помочь сравнить последствия. Однако точность расчёта сама по себе не устанавливает допустимый риск и не назначает того, кто оплатит дополнительную надёжность. Эти основания должны войти в поручение. Если прежнее поручение блокирует работу, предметом решения становится оно само.</w:t>
      </w:r>
    </w:p>
    <w:p>
      <w:pPr>
        <w:pStyle w:val="Normal"/>
      </w:pPr>
      <w:r>
        <w:rPr/>
        <w:t xml:space="preserve">Кейс устанавливает изменение организации по свидетельству автора, а не рост способности участников учиться. Для образовательной задачи он даёт точный предмет: заметить, что следующего технического довода уже мало; разобраться, почему другие обязаны согласовать действие и какую часть этой зависимости можно изменить.</w:t>
      </w:r>
    </w:p>
    <w:p>
      <w:pPr>
        <w:pStyle w:val="Normal"/>
      </w:pPr>
      <w:r>
        <w:rPr/>
        <w:t xml:space="preserve">Вернёмся к общему узлу. Отдельные производственные звенья могут самостоятельно выбирать способы работы при общих требованиях к совместимости и ответственности. Согласовывать каждую внутреннюю перемену всем пользователям незачем. Но автономия нынешних участников ещё не открывает путь следующим. Уменьшить число взаимных разрешений внутри клуба и создать внешний вход — две разные работы.</w:t>
      </w:r>
    </w:p>
    <w:p>
      <w:pPr>
        <w:pStyle w:val="Normal"/>
      </w:pPr>
      <w:r>
        <w:rPr/>
        <w:t xml:space="preserve">Исследования Элинор Остром помогают не сводить управление общими ресурсами к одной форме собственности. Среди характеристик устойчивых устройств она рассматривает участие затронутых пользователей в изменении правил, подотчётное наблюдение и доступное разрешение конфликтов.</w:t>
      </w:r>
      <w:hyperlink w:anchor="Note2" w:history="1">
        <w:r>
          <w:rPr>
            <w:rStyle w:val="Hyperlink"/>
          </w:rPr>
          <w:t xml:space="preserve">[2]</w:t>
        </w:r>
      </w:hyperlink>
      <w:r>
        <w:rPr/>
        <w:t xml:space="preserve"> Наш вопрос проходит по границе круга пользователей: кто может добиваться изменения, если именно действующий порядок не позволяет ему стать участником?</w:t>
      </w:r>
    </w:p>
    <w:p>
      <w:pPr>
        <w:pStyle w:val="Normal"/>
      </w:pPr>
      <w:r>
        <w:rPr/>
        <w:t xml:space="preserve">У стороны, оплатившей доступ, основание связано с договором. У совладельца — с его долей и согласованными полномочиями. У человека, которому деятельность причиняет ущерб, — с защитой затронутых прав; для такого возражения не требуется купить часть предприятия. Гражданское участие в определении общественных правил имеет ещё одно основание. Смешать эти случаи означало бы либо дать любому заявителю власть над чужим имуществом, либо лишить посторонних возможности возражать против действительного вреда.</w:t>
      </w:r>
    </w:p>
    <w:p>
      <w:pPr>
        <w:pStyle w:val="Normal"/>
      </w:pPr>
      <w:r>
        <w:rPr/>
        <w:t xml:space="preserve">Для нового предложения нужны сведения о загрузке, цене изменений и повторяющихся отказах. Часть данных может быть закрыта обязательствами перед партнёрами. В пределах предоставленного права на проверку следует обеспечить способ установить существенное основание без раскрытия всего массива. Иначе нельзя отличить нехватку мощности от нежелания исполнить обещанный доступ.</w:t>
      </w:r>
    </w:p>
    <w:p>
      <w:pPr>
        <w:pStyle w:val="Normal"/>
      </w:pPr>
      <w:r>
        <w:rPr/>
        <w:t xml:space="preserve">Но предложение не обязано побеждать. Проверка может показать, что безопасная первая проба дороже доступных средств. Может обнаружиться более полезное их применение. Возможность пересмотра означает, что такое решение имеет предмет и основания, что обещанное можно потребовать, а новое — предложить другой стороне. Она не гарантирует оплату любого замысла.</w:t>
      </w:r>
    </w:p>
    <w:p>
      <w:pPr>
        <w:pStyle w:val="Normal"/>
      </w:pPr>
      <w:r>
        <w:rPr/>
        <w:t xml:space="preserve">Образование тогда готовит человека к более широкой работе, чем успешное заполнение заявки. Он способен понять отказ, отличить техническое ограничение от принятого порядка, оценить цену изменения и собрать соглашение с теми, кому оно нужно. Иногда результатом будет новое общее правило. Иногда — отдельный проект, которому прежнее общее правило больше не требуется.</w:t>
      </w:r>
    </w:p>
    <w:p>
      <w:pPr>
        <w:pStyle w:val="Normal"/>
      </w:pPr>
      <w:r>
        <w:rPr/>
        <w:t xml:space="preserve">Мы начинали с правильного отказа. Теперь видно несколько разных будущих после него. Исправить нарушение. Изменить неудачную норму. Купить другой доступ. Разделить прежде общие решения. Или признать, что в данных условиях продолжение не оплачено. Самостоятельность проявляется в различении этих возможностей, а не в обязательной победе над каждым отказавшим.</w:t>
      </w:r>
    </w:p>
    <w:p>
      <w:pPr>
        <w:pStyle w:val="Normal"/>
      </w:pPr>
      <w:r>
        <w:rPr/>
        <w:t xml:space="preserve">Так появляется путь от хорошей работы внутри порядка к обоснованному изменению самого порядка. Но способность предложить такое изменение ещё не делает человека готовым выполнить любую операцию с последствиями. Доверить конкретное действие — следующий, отдельный вопрос.</w:t>
      </w:r>
    </w:p>
    <w:p>
      <w:pPr>
        <w:pStyle w:val="Heading1"/>
      </w:pPr>
      <w:r>
        <w:rPr/>
        <w:t xml:space="preserve">Источники и примечания</w:t>
      </w:r>
    </w:p>
    <w:p>
      <w:pPr>
        <w:pStyle w:val="Note"/>
      </w:pPr>
      <w:bookmarkStart w:id="1" w:name="Note1"/>
      <w:r>
        <w:rPr/>
        <w:t xml:space="preserve">1. </w:t>
      </w:r>
      <w:r>
        <w:rPr/>
        <w:t xml:space="preserve">Егор Давыдов. «Два адмирала и один флот». Предоставленный пользователем PDF, 9 страниц; дата авторской редакции не установлена. PDF-с. 2–6: совместное участие в строительстве, различие критериев, затруднение согласования, перестройка и ограниченный исход. Авторство указано пользователем 6 сентября 2026 года; дата чтения исходного файла в редакции 7.1 сохранена. Обстоятельства независимо не подтверждены. Условная пятикратная разница стоимости, реконструированные мысли и речь не перенесены. Предположения исходника об ответе ИИ не считаются проведённым опытом. Полное распределение последствий и образовательный эффект по описанию не установлены.</w:t>
      </w:r>
      <w:bookmarkEnd w:id="1"/>
    </w:p>
    <w:p>
      <w:pPr>
        <w:pStyle w:val="Note"/>
      </w:pPr>
      <w:bookmarkStart w:id="2" w:name="Note2"/>
      <w:r>
        <w:rPr/>
        <w:t xml:space="preserve">2. </w:t>
      </w:r>
      <w:r>
        <w:rPr/>
        <w:t xml:space="preserve">Elinor Ostrom, </w:t>
      </w:r>
      <w:hyperlink w:history="1" r:id="link1">
        <w:r>
          <w:rPr>
            <w:i/>
            <w:rStyle w:val="Hyperlink"/>
          </w:rPr>
          <w:t xml:space="preserve">Beyond Markets and States: Polycentric Governance of Complex Economic Systems</w:t>
        </w:r>
      </w:hyperlink>
      <w:r>
        <w:rPr/>
        <w:t xml:space="preserve">, revised draft Нобелевской лекции 8 декабря 2009 года, §4E, печатные с. 12–13, начало §5, с. 14. Ограниченный пересказ прочитанного в редакции 7.1 черновика; финальная статья </w:t>
      </w:r>
      <w:r>
        <w:rPr>
          <w:i/>
        </w:rPr>
        <w:t xml:space="preserve">American Economic Review</w:t>
      </w:r>
      <w:r>
        <w:rPr/>
        <w:t xml:space="preserve"> 2010 года не выдаётся за тот же проверенный файл. Исследование общих ресурсов не подтверждает работоспособности предлагаемого космического режима. Описанные здесь способы доступа, продления и пересмотра — проектные условия; их юридическая исполнимость не установлена без реальных сторон и договоров.</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dlc.dlib.indiana.edu/dlc/bitstreams/0a7a52e6-8cf0-42c3-ae20-776095e6fd1d/download" TargetMode="External" /></Relationships>
</file>