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14. Кто выбирает ваше развитие</w:t>
      </w:r>
    </w:p>
    <w:p>
      <w:pPr>
        <w:pStyle w:val="Subtitle"/>
      </w:pPr>
      <w:r>
        <w:rPr/>
        <w:t xml:space="preserve">Право на решение · версия 8.0</w:t>
      </w:r>
    </w:p>
    <w:p>
      <w:pPr>
        <w:pStyle w:val="Normal"/>
      </w:pPr>
      <w:r>
        <w:rPr/>
        <w:t xml:space="preserve">Хорошая помощь может изменить то, чего человек хочет.</w:t>
      </w:r>
    </w:p>
    <w:p>
      <w:pPr>
        <w:pStyle w:val="Normal"/>
      </w:pPr>
      <w:r>
        <w:rPr/>
        <w:t xml:space="preserve">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pStyle w:val="Normal"/>
      </w:pPr>
      <w:r>
        <w:rPr/>
        <w:t xml:space="preserve">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pStyle w:val="Normal"/>
      </w:pPr>
      <w:r>
        <w:rPr/>
        <w:t xml:space="preserve">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pStyle w:val="Normal"/>
      </w:pPr>
      <w:r>
        <w:rPr/>
        <w:t xml:space="preserve">У Станислава Лема этот вопрос возникает задолго до нынешних помощников. В обсуждении машинного подбора партнёров его интересует не только удачность рекомендации. Лем допускает, что выбор вопреки совету получит особую общественную оценку: поступок будут воспринимать уже через отношение к машинной норме. Отказ остаётся возможен, но общественная цена отказа меняется.</w:t>
      </w:r>
      <w:hyperlink w:anchor="Note4" w:history="1">
        <w:r>
          <w:rPr>
            <w:rStyle w:val="Hyperlink"/>
          </w:rPr>
          <w:t xml:space="preserve">[4]</w:t>
        </w:r>
      </w:hyperlink>
      <w:r>
        <w:rPr/>
        <w:t xml:space="preserve"> С обучением может произойти похожее: собственный интерес приходится защищать уже не от запрета, а от предположения, что лучший помощник наверняка знает лучше.</w:t>
      </w:r>
    </w:p>
    <w:p>
      <w:pPr>
        <w:pStyle w:val="Normal"/>
      </w:pPr>
      <w:r>
        <w:rPr/>
        <w:t xml:space="preserve">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pStyle w:val="Normal"/>
      </w:pPr>
      <w:r>
        <w:rPr/>
        <w:t xml:space="preserve">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1" w:history="1">
        <w:r>
          <w:rPr>
            <w:rStyle w:val="Hyperlink"/>
          </w:rPr>
          <w:t xml:space="preserve">[1]</w:t>
        </w:r>
      </w:hyperlink>
      <w:r>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pStyle w:val="Normal"/>
      </w:pPr>
      <w:r>
        <w:rPr/>
        <w:t xml:space="preserve">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pStyle w:val="Normal"/>
      </w:pPr>
      <w:r>
        <w:rPr/>
        <w:t xml:space="preserve">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pStyle w:val="Normal"/>
      </w:pPr>
      <w:r>
        <w:rPr/>
        <w:t xml:space="preserve">Однако возможность выбрать ещё не объясняет, почему человек захочет долго заниматься трудным.</w:t>
      </w:r>
    </w:p>
    <w:p>
      <w:pPr>
        <w:pStyle w:val="Normal"/>
      </w:pPr>
      <w:r>
        <w:rPr/>
        <w:t xml:space="preserve">Готовый хороший результат и изменение самого действующего человека имеют разную ценность. Иногда нужен только результат: исправный прибор, точный перевод, снятая боль. Желание получить его быстрее не делает человека поверхностным. Но в другом случае существенна способность самому различить ошибку, поставить следующий опыт, помочь товарищу. При превосходящем помощнике эти две выгоды могут разойтись особенно далеко.</w:t>
      </w:r>
    </w:p>
    <w:p>
      <w:pPr>
        <w:pStyle w:val="Normal"/>
      </w:pPr>
      <w:r>
        <w:rPr/>
        <w:t xml:space="preserve">В четырёх коротких онлайн-экспериментах Суцин У и соавторов участие ИИ улучшало непосредственный письменный результат, но это преимущество не переносилось автоматически в последующее самостоятельное выполнение. Переживание контроля и мотивация тоже не повторяли траекторию качества текста. Результаты различались между экспериментами; исследование не устанавливает, что ИИ неизбежно лишает людей желания работать.</w:t>
      </w:r>
      <w:hyperlink w:anchor="Note3" w:history="1">
        <w:r>
          <w:rPr>
            <w:rStyle w:val="Hyperlink"/>
          </w:rPr>
          <w:t xml:space="preserve">[3]</w:t>
        </w:r>
      </w:hyperlink>
      <w:r>
        <w:rPr/>
        <w:t xml:space="preserve"> Оно показывает более узкую вещь: лучший продукт ещё не сообщает нам, что произошло с действующим человеком.</w:t>
      </w:r>
    </w:p>
    <w:p>
      <w:pPr>
        <w:pStyle w:val="Normal"/>
      </w:pPr>
      <w:r>
        <w:rPr/>
        <w:t xml:space="preserve">В испытательной работе это различие можно удержать без соревнования с машиной. Участник выбирает, какое расхождение проверить, сопоставляет измерение с предсказанием и меняет следующее действие. ИИ может видеть больше и объяснять быстрее. Приобретённая способность состоит в том, что человек теперь разбирает основание собственного решения, которого раньше принять не мог. Его успех не требует мирового рекорда.</w:t>
      </w:r>
    </w:p>
    <w:p>
      <w:pPr>
        <w:pStyle w:val="Normal"/>
      </w:pPr>
      <w:r>
        <w:rPr/>
        <w:t xml:space="preserve">Меняется и предмет признания. Если хвалить человека за текст или расчёт, фактически сделанный помощником, признание может стать ненадёжным, когда человек различает, кому принадлежит работа. Можно признавать точно установленный вклад — удачно поставленный вопрос, обнаруженный предел, принятую ответственность, помощь другому. Это не утешительный приз за отставание от машины. Такой вклад имеет значение для тех, кто пользуется общим результатом.</w:t>
      </w:r>
    </w:p>
    <w:p>
      <w:pPr>
        <w:pStyle w:val="Normal"/>
      </w:pPr>
      <w:r>
        <w:rPr/>
        <w:t xml:space="preserve">Останутся ли эти основания достаточно сильными на годы, мы пока не знаем. Совместное открытие, ощущение собственной действенности и признание могут поддерживать участие; у разных людей их вес различен. Проверять это следует по продолжению и изменению реальной работы, добровольным возвращениям и отказам, а не по придуманному внутреннему монологу ученика. Отказ не следует заранее объявлять следствием плохо устроенной среды: интерес может закончиться и в хороших условиях.</w:t>
      </w:r>
    </w:p>
    <w:p>
      <w:pPr>
        <w:pStyle w:val="Normal"/>
      </w:pPr>
      <w:r>
        <w:rPr/>
        <w:t xml:space="preserve">Здесь вновь расходятся два заказа. Покупателю может требоваться быстрый результат; участнику — время, чтобы стать способным на большее. Иногда они совпадут, иногда за второе придётся отдельно заплатить тому, кто его ценит. Наставник не устраняет этот выбор одним обещанием, что развитие однажды окупится.</w:t>
      </w:r>
    </w:p>
    <w:p>
      <w:pPr>
        <w:pStyle w:val="Normal"/>
      </w:pPr>
      <w:r>
        <w:rPr/>
        <w:t xml:space="preserve">Граница помощи особенно трудна, когда опасность реальна. В кейсе Егора Давыдова «Цена спасения» описан кризис компании наземного обслуживания: загрузка резко упала, около четырёх пятых расходов приходилось на оплату труда. Это сведения предоставленного описания, независимо не подтверждённые. Рассмотрим поставленную в нём управленческую дилемму.</w:t>
      </w:r>
      <w:hyperlink w:anchor="Note2" w:history="1">
        <w:r>
          <w:rPr>
            <w:rStyle w:val="Hyperlink"/>
          </w:rPr>
          <w:t xml:space="preserve">[2]</w:t>
        </w:r>
      </w:hyperlink>
    </w:p>
    <w:p>
      <w:pPr>
        <w:pStyle w:val="Normal"/>
      </w:pPr>
      <w:r>
        <w:rPr/>
        <w:t xml:space="preserve">Быстрое сокращение людей угрожало утратой способности обслуживать будущую работу. Переговоры могли привести к трудовому конфликту, получение денег требовало времени. Открытое решение не имело гарантированного успеха. Но в распоряжении руководства находился и другой инструмент: часть выплат зависела от общего объёма обработанного багажа, который отдельный работник не мог проверить.</w:t>
      </w:r>
    </w:p>
    <w:p>
      <w:pPr>
        <w:pStyle w:val="Normal"/>
      </w:pPr>
      <w:r>
        <w:rPr/>
        <w:t xml:space="preserve">Занижение этого показателя позволяло уменьшить оплату, не объявляя сотрудникам размер принятой за них потери. В описанном механизме менялась не открыто согласованная цена будущей работы, а информация об уже выполненной. Источник связывает выбор инструмента с необходимостью немедленно сократить расходы; он не устанавливает, что именно эта мера спасла компанию или была единственным осуществимым вариантом.</w:t>
      </w:r>
    </w:p>
    <w:p>
      <w:pPr>
        <w:pStyle w:val="Normal"/>
      </w:pPr>
      <w:r>
        <w:rPr/>
        <w:t xml:space="preserve">Работники в таком устройстве несут часть цены сохранения предприятия, не участвуя в определении этой цены. Так мы интерпретируем описанный механизм. Здесь соединяются две формы власти: распределить потери и определить сведения, по которым человек узнает о своей доле. Угроза делу могла быть серьёзной; она сама по себе не передавала руководителю неограниченных полномочий над обеими сторонами решения.</w:t>
      </w:r>
    </w:p>
    <w:p>
      <w:pPr>
        <w:pStyle w:val="Normal"/>
      </w:pPr>
      <w:r>
        <w:rPr/>
        <w:t xml:space="preserve">Теперь оставим обстоятельства кейса и усилим условие. Пусть более сильная система действительно знает, как сохранить предприятие, а раскрытие искажения исключено. Её решение даст обещанный полезный результат. Возникает ли у неё от этого право скрыто назначить цену, которую заплатят другие?</w:t>
      </w:r>
    </w:p>
    <w:p>
      <w:pPr>
        <w:pStyle w:val="Normal"/>
      </w:pPr>
      <w:r>
        <w:rPr/>
        <w:t xml:space="preserve">Расчёт полезности сам по себе таких полномочий не создаёт. Люди могли доверить системе управление расходами, не предоставляя права изменять сведения об уже выполненной работе. Срочное управление возможно в заранее согласованных пределах; оно не требует опроса всех по каждому действию. Но чрезвычайное положение не позволяет помогающему незаметно расширить поручение только потому, что он лучше понимает последствия.</w:t>
      </w:r>
    </w:p>
    <w:p>
      <w:pPr>
        <w:pStyle w:val="Normal"/>
      </w:pPr>
      <w:r>
        <w:rPr/>
        <w:t xml:space="preserve">Для развития человека это означает больше, чем доступ к хорошему объяснению. Помощник может безупречно разобрать расчёт по тем данным, которые ему открыли. Если исходные сведения контролирует единственный распорядитель, человек останется без возможности проверить основание. Дело не обязательно в недостатке его знаний. Нужны достоверные сведения и независимый способ их проверки.</w:t>
      </w:r>
    </w:p>
    <w:p>
      <w:pPr>
        <w:pStyle w:val="Normal"/>
      </w:pPr>
      <w:r>
        <w:rPr/>
        <w:t xml:space="preserve">Организация вправе оплачивать подготовку к определённой работе. Из этого не следует, что только полезное ей направление отвечает развитию участника. Отказ в другой пробе может быть вызван ограниченным бюджетом; его нельзя превращать в диагноз незрелого желания. Сильный ИИ способен и поддерживать эту подмену, и помогать её обнаружить — в зависимости от поручения и доступов. Образование должно дать человеку возможность разбирать, кому служит помощь и где заканчивается власть помогающего; ни этот кейс, ни хороший курс сами по себе такого результата не подтверждают.</w:t>
      </w:r>
    </w:p>
    <w:p>
      <w:pPr>
        <w:pStyle w:val="Normal"/>
      </w:pPr>
      <w:r>
        <w:rPr/>
        <w:t xml:space="preserve">Самостоятельная проверка нужна и при смене образовательного пути. Каталога программ для перехода мало.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pStyle w:val="Normal"/>
      </w:pPr>
      <w:r>
        <w:rPr/>
        <w:t xml:space="preserve">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pStyle w:val="Normal"/>
      </w:pPr>
      <w:r>
        <w:rPr/>
        <w:t xml:space="preserve">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Тот, кто выделяет средства на такую пробу, может заранее ограничить её размер и принять неопределённость результата. Обоснованный отказ от дальнейшей работы тогда способен исполнить договорённость не хуже удачного продолжения.</w:t>
      </w:r>
    </w:p>
    <w:p>
      <w:pPr>
        <w:pStyle w:val="Normal"/>
      </w:pPr>
      <w:r>
        <w:rPr/>
        <w:t xml:space="preserve">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pStyle w:val="Normal"/>
      </w:pPr>
      <w:r>
        <w:rPr/>
        <w:t xml:space="preserve">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pStyle w:val="Normal"/>
      </w:pPr>
      <w:r>
        <w:rPr/>
        <w:t xml:space="preserve">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pStyle w:val="Normal"/>
      </w:pPr>
      <w:r>
        <w:rPr/>
        <w:t xml:space="preserve">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нужно разобраться с оставшимися обязательствами, обычными расходами жизни и условиями возвращения.</w:t>
      </w:r>
    </w:p>
    <w:p>
      <w:pPr>
        <w:pStyle w:val="Heading1"/>
      </w:pPr>
      <w:r>
        <w:rPr/>
        <w:t xml:space="preserve">Источники и примечания</w:t>
      </w:r>
    </w:p>
    <w:p>
      <w:pPr>
        <w:pStyle w:val="Note"/>
      </w:pPr>
      <w:bookmarkStart w:id="1" w:name="Note1"/>
      <w:r>
        <w:rPr/>
        <w:t xml:space="preserve">1. </w:t>
      </w:r>
      <w:r>
        <w:rPr/>
        <w:t xml:space="preserve">Seymour Papert, Idit Harel, </w:t>
      </w:r>
      <w:hyperlink w:history="1" r:id="link1">
        <w:r>
          <w:rPr>
            <w:i/>
            <w:rStyle w:val="Hyperlink"/>
          </w:rPr>
          <w:t xml:space="preserve">Situating Constructionism</w:t>
        </w:r>
      </w:hyperlink>
      <w:r>
        <w:rPr/>
        <w:t xml:space="preserve">,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w:t>
      </w:r>
      <w:bookmarkEnd w:id="1"/>
    </w:p>
    <w:p>
      <w:pPr>
        <w:pStyle w:val="Note"/>
      </w:pPr>
      <w:bookmarkStart w:id="2" w:name="Note2"/>
      <w:r>
        <w:rPr/>
        <w:t xml:space="preserve">2. </w:t>
      </w:r>
      <w:r>
        <w:rPr/>
        <w:t xml:space="preserve">Егор Давыдов. </w:t>
      </w:r>
      <w:r>
        <w:rPr>
          <w:i/>
        </w:rPr>
        <w:t xml:space="preserve">Цена спасения. Кейс «Аэропорт»</w:t>
      </w:r>
      <w:r>
        <w:rPr/>
        <w:t xml:space="preserve">. Предоставленный пользователем PDF, 17 страниц; дата авторской редакции не установлена. Библиотека проекта: источник 50. PDF-с. 3–5: финансовое положение, доля оплаты труда, ограничения альтернатив и показатель объёма багажа; PDF-с. 9: различие условий оплаты и данных о выполненной работе; PDF-с. 15: постановка вопроса о цене для других. Авторство указано пользователем 6 сентября 2026 года; тогда же прочитан файл. Происхождение свидетельства и обстоятельства независимо не подтверждены. Число 80% относится только к компании в этом описании. Из него не следует доказанное спасение предприятия, неизбежность выбранного действия или общая характеристика аэропортовых сервисов. Воображаемый вечер, внутренние переживания и предположенный ответ ИИ не перенесены как факты. Условие гарантированного полезного результата без раскрытия — отдельный мысленный эксперимент книги, а не событие кейса.</w:t>
      </w:r>
      <w:bookmarkEnd w:id="2"/>
    </w:p>
    <w:p>
      <w:pPr>
        <w:pStyle w:val="Note"/>
      </w:pPr>
      <w:r>
        <w:rPr/>
        <w:t xml:space="preserve">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p>
      <w:pPr>
        <w:pStyle w:val="Note"/>
      </w:pPr>
      <w:bookmarkStart w:id="3" w:name="Note3"/>
      <w:r>
        <w:rPr/>
        <w:t xml:space="preserve">3. </w:t>
      </w:r>
      <w:r>
        <w:rPr/>
        <w:t xml:space="preserve">Suqing Wu, Yukun Liu, Mengqi Ruan, Siyu Chen, Xiao-Yun Xie. </w:t>
      </w:r>
      <w:hyperlink w:history="1" r:id="link2">
        <w:r>
          <w:rPr>
            <w:i/>
            <w:rStyle w:val="Hyperlink"/>
          </w:rPr>
          <w:t xml:space="preserve">Scientific Reports</w:t>
        </w:r>
      </w:hyperlink>
      <w:hyperlink w:history="1" r:id="link2">
        <w:r>
          <w:rPr>
            <w:rStyle w:val="Hyperlink"/>
          </w:rPr>
          <w:t xml:space="preserve">, 15, 15105</w:t>
        </w:r>
      </w:hyperlink>
      <w:r>
        <w:rPr/>
        <w:t xml:space="preserve">, 2025, четыре онлайн-эксперимента, всего 3562 участника. Рассматриваются краткие письменные задания и последующее выполнение без ИИ; это не длительное инженерное обучение. Результаты мотивации неоднородны: во втором исследовании соответствующее взаимодействие статистически незначимо; в четвёртом не все различия подтверждены. Вывод о неизбежной демотивации или об общем интеллекте, превосходящем человека, из этих данных не следует.</w:t>
      </w:r>
      <w:bookmarkEnd w:id="3"/>
    </w:p>
    <w:p>
      <w:pPr>
        <w:pStyle w:val="Note"/>
      </w:pPr>
      <w:bookmarkStart w:id="4" w:name="Note4"/>
      <w:r>
        <w:rPr/>
        <w:t xml:space="preserve">4. </w:t>
      </w:r>
      <w:r>
        <w:rPr/>
        <w:t xml:space="preserve">Станислав Лем. </w:t>
      </w:r>
      <w:r>
        <w:rPr>
          <w:i/>
        </w:rPr>
        <w:t xml:space="preserve">Сумма технологии</w:t>
      </w:r>
      <w:r>
        <w:rPr/>
        <w:t xml:space="preserve">, предоставленное русское издание 2018 года, гл. VIII, «Автоэволюционная машина», PDF-с. 757–759. Использовано рассуждение о превращении машинной рекомендации в культурную норму. Приведённые там сведения о службах подбора партнёров не используются как проверенный эффект; редакторское примечание 255 само обсуждает пределы такого заключения. Перенос вопроса на обучение — рассуждение этой книги.</w:t>
      </w:r>
      <w:bookmarkEnd w:id="4"/>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 Id="link2" Type="http://schemas.openxmlformats.org/officeDocument/2006/relationships/hyperlink" Target="https://www.nature.com/articles/s41598-025-98385-2" TargetMode="External" /></Relationships>
</file>