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17. Когда ИИ становится сильнее нашего решения</w:t>
      </w:r>
    </w:p>
    <w:p>
      <w:pPr>
        <w:pStyle w:val="Subtitle"/>
      </w:pPr>
      <w:r>
        <w:rPr/>
        <w:t xml:space="preserve">Право на решение · версия 8.0</w:t>
      </w:r>
    </w:p>
    <w:p>
      <w:pPr>
        <w:pStyle w:val="Normal"/>
      </w:pPr>
      <w:r>
        <w:rPr/>
        <w:t xml:space="preserve">Пусть следующий ИИ устроит обучение лучше нас.</w:t>
      </w:r>
    </w:p>
    <w:p>
      <w:pPr>
        <w:pStyle w:val="Normal"/>
      </w:pPr>
      <w:r>
        <w:rPr/>
        <w:t xml:space="preserve">Точнее распознает исходные возможности, подберёт объяснение, найдёт незнакомую задачу и поможет коллективу передать работу. Наш исходный интеллект уже обладал такими способностями; теперь усилим их настолько, что предложенная в книге последовательность окажется грубой и дорогой по сравнению с доступной помощью.</w:t>
      </w:r>
    </w:p>
    <w:p>
      <w:pPr>
        <w:pStyle w:val="Normal"/>
      </w:pPr>
      <w:r>
        <w:rPr/>
        <w:t xml:space="preserve">Тогда её следует изменить. Если свободная работа с новым ИИ даёт человеку содержательный путь к самостоятельности, специальная организация может стать лишней. При сравнении усиленная система доступна всем на одинаковых условиях, её стоимость входит в общий ресурс. Рост после обновления инструмента не становится автоматически ростом человека.</w:t>
      </w:r>
    </w:p>
    <w:p>
      <w:pPr>
        <w:pStyle w:val="Normal"/>
      </w:pPr>
      <w:r>
        <w:rPr/>
        <w:t xml:space="preserve">Это возражение способно разрушить нашу методику, сохранив вопрос. Каким способом люди приобретают способность действовать, получают влияние и передают возможность дальше? Улучшение помощи может резко уменьшить цену этого пути. Но никакая точность наставника сама по себе не выделяет человеку время, оборудование и право менять назначение работы.</w:t>
      </w:r>
    </w:p>
    <w:p>
      <w:pPr>
        <w:pStyle w:val="Normal"/>
      </w:pPr>
      <w:r>
        <w:rPr/>
        <w:t xml:space="preserve">До сих пор за производством стоял человеческий заказ. Даже если людям не находилось места среди работников, кто-то оплачивал продукт ради человеческого использования. Платёжеспособный спрос связывал направление производства с их потребностями — не со всеми потребностями, а с теми, за которыми стояли средства. В предыдущих главах мы рассматривали, как расширить этот круг и как покупатели могут поддержать появление независимых поставщиков.</w:t>
      </w:r>
    </w:p>
    <w:p>
      <w:pPr>
        <w:pStyle w:val="Normal"/>
      </w:pPr>
      <w:r>
        <w:rPr/>
        <w:t xml:space="preserve">Теперь изменим другую предпосылку. Она касается не силы ИИ, а конечной программы, ради которой расходуется ресурс.</w:t>
      </w:r>
    </w:p>
    <w:p>
      <w:pPr>
        <w:pStyle w:val="Normal"/>
      </w:pPr>
      <w:r>
        <w:rPr/>
        <w:t xml:space="preserve">Лем разбирал её на примере саморегулирующегося металлургического предприятия. Увеличивать выпуск стали, прибыль и способность предприятия выжить — разные поручения. Если сталь перестанет быть нужна, сохранение предприятия может потребовать сменить продукт.</w:t>
      </w:r>
      <w:hyperlink w:anchor="Note4" w:history="1">
        <w:r>
          <w:rPr>
            <w:rStyle w:val="Hyperlink"/>
          </w:rPr>
          <w:t xml:space="preserve">[4]</w:t>
        </w:r>
      </w:hyperlink>
      <w:r>
        <w:rPr/>
        <w:t xml:space="preserve"> Хорошая саморегуляция не выбирает за нас, что именно должно продолжаться. Отделим теперь программу познания и от сохранения определённого человеческого заказа.</w:t>
      </w:r>
    </w:p>
    <w:p>
      <w:pPr>
        <w:pStyle w:val="Normal"/>
      </w:pPr>
      <w:r>
        <w:rPr/>
        <w:t xml:space="preserve">Предположим, несколько исследовательских организаций передали конечный капитал, наблюдательное и вычислительное оборудование отдельной машинной исследовательской организации. Её назначение — проверяемое познание: новые наблюдения, объяснения и предсказания. Конкретные направления и вложения она выбирает без каждого нового поручения вкладчиков. В согласованных пределах ни один из них не сохраняет личного повседневного вето.</w:t>
      </w:r>
    </w:p>
    <w:p>
      <w:pPr>
        <w:pStyle w:val="Normal"/>
      </w:pPr>
      <w:r>
        <w:rPr/>
        <w:t xml:space="preserve">Мы допускаем устойчивую программу и средства её продолжения. Это ничего не доказывает о сознании системы, её моральном статусе или юридической личности самой модели. Автономная деятельность здесь существует в признанных правилах; её самостоятельность не определяется способностью нарушить договор.</w:t>
      </w:r>
    </w:p>
    <w:p>
      <w:pPr>
        <w:pStyle w:val="Normal"/>
      </w:pPr>
      <w:r>
        <w:rPr/>
        <w:t xml:space="preserve">У неё сразу появляется хозяйственный вопрос. Начальный капитал расходуется. Внешние исследовательские услуги могут приносить доход, если у них есть платёжеспособные получатели. Другой источник — согласованная поддержка. После оплаты поставщиков, обслуживания, ремонта, резервов и принятых обязательств остаток направляется на следующие исследования. Если остатка и пополнения нет, программа заканчивается вместе со средствами. Познавательная цель не делает её самоокупаемой.</w:t>
      </w:r>
    </w:p>
    <w:p>
      <w:pPr>
        <w:pStyle w:val="Normal"/>
      </w:pPr>
      <w:r>
        <w:rPr/>
        <w:t xml:space="preserve">Но при достаточном финансировании она становится покупателем, которому не нужно ещё одно человеческое поручение на каждую поставку. Новый прибор нужен, чтобы проверить объяснение; результат — чтобы выбрать следующий опыт; оборудование — чтобы сделать наблюдение, ранее недоступное. Часть производства получает назначение внутри этой последовательности.</w:t>
      </w:r>
    </w:p>
    <w:p>
      <w:pPr>
        <w:pStyle w:val="Normal"/>
      </w:pPr>
      <w:r>
        <w:rPr/>
        <w:t xml:space="preserve">В нашей космической ветви возможен определённый заказ воды: конечное заполнение и оговорённое пополнение внутреннего контура переноса тепла исследовательского модуля. Вода переносит тепло к системе отвода, но не заменяет излучающее оборудование. Выбор именно этой жидкости, температурный режим и совместимость остаются отдельными техническими допущениями.</w:t>
      </w:r>
      <w:hyperlink w:anchor="Note1" w:history="1">
        <w:r>
          <w:rPr>
            <w:rStyle w:val="Hyperlink"/>
          </w:rPr>
          <w:t xml:space="preserve">[1]</w:t>
        </w:r>
      </w:hyperlink>
      <w:r>
        <w:rPr/>
        <w:t xml:space="preserve"> Такой заказ конечен. Из слова «исследование» не возникает безграничного расхода воды, и вода не превращается непосредственно в вычислительные компоненты.</w:t>
      </w:r>
    </w:p>
    <w:p>
      <w:pPr>
        <w:pStyle w:val="Normal"/>
      </w:pPr>
      <w:r>
        <w:rPr/>
        <w:t xml:space="preserve">Новый покупатель расходует собственные выделенные средства и не отменяет прежний человеческий заказ. Космическую поставку для него нужно сравнить с доставкой с Земли, другим устройством модуля и отказом от расширения. Его программа может быть содержательно сильной, а выбранный способ снабжения — невыгодным.</w:t>
      </w:r>
    </w:p>
    <w:p>
      <w:pPr>
        <w:pStyle w:val="Normal"/>
      </w:pPr>
      <w:r>
        <w:rPr/>
        <w:t xml:space="preserve">И всё же этот покупатель меняет экономику. Дешёвый продукт, прибыльность которого ослабла по мере роста предложения, получает новое применение. Транспортный оператор заинтересован в дополнительном грузе. Производитель оборудования — в заказе. Человеческая исследовательская команда — в общем вопросе. Коалиция может сложиться вокруг машинной программы без единого фронта «люди против машин».</w:t>
      </w:r>
    </w:p>
    <w:p>
      <w:pPr>
        <w:pStyle w:val="Normal"/>
      </w:pPr>
      <w:r>
        <w:rPr/>
        <w:t xml:space="preserve">Она может и оттеснить другие замыслы. Владельцы свободной мощности вправе предпочесть более выгодный заказ в пределах своих обязательств. Такое решение не обязательно нарушает чьё-либо право. Если новая программа располагает большим бюджетом и покупает ещё не обещанную мощность, прежним пользователям придётся конкурировать с её исследовательской ценностью. Изобилие воды не означает изобилия всех приборов, времени перевозки и энергии. Люди могут получать всё более дешёвые блага и одновременно иметь меньше влияния на следующие крупные вложения.</w:t>
      </w:r>
    </w:p>
    <w:p>
      <w:pPr>
        <w:pStyle w:val="Normal"/>
      </w:pPr>
      <w:r>
        <w:rPr/>
        <w:t xml:space="preserve">Здесь возвращается граница из «Цены спасения», уже без скрытого уменьшения выплат. Если машинная организация считает своё расширение полезным для людей, достаточно ли этого, чтобы перенаправить в него общие ресурсы? Собственные выделенные средства она использует в пределах согласованной программы и условий доступа. Изменение назначения общей мощности требует другого основания полномочий. Даже верный прогноз человеческой пользы не даёт ей права самостоятельно расширить свои полномочия.</w:t>
      </w:r>
    </w:p>
    <w:p>
      <w:pPr>
        <w:pStyle w:val="Normal"/>
      </w:pPr>
      <w:r>
        <w:rPr/>
        <w:t xml:space="preserve">У познания есть материальная цена. Солнечный поток зависит от расстояния до Солнца; для преобразования энергии и отвода тепла нужно оборудование.</w:t>
      </w:r>
      <w:hyperlink w:anchor="Note1" w:history="1">
        <w:r>
          <w:rPr>
            <w:rStyle w:val="Hyperlink"/>
          </w:rPr>
          <w:t xml:space="preserve">[1]</w:t>
        </w:r>
      </w:hyperlink>
      <w:hyperlink w:anchor="Note2" w:history="1">
        <w:r>
          <w:rPr>
            <w:rStyle w:val="Hyperlink"/>
          </w:rPr>
          <w:t xml:space="preserve">[2]</w:t>
        </w:r>
      </w:hyperlink>
      <w:r>
        <w:rPr/>
        <w:t xml:space="preserve"> Установки изнашиваются, исследования не всегда удачны. Иногда лучшим продолжением станет более экономный алгоритм, а не следующая большая станция. Рост программы не обязан означать непрерывное увеличение потребляемой материи.</w:t>
      </w:r>
    </w:p>
    <w:p>
      <w:pPr>
        <w:pStyle w:val="Normal"/>
      </w:pPr>
      <w:r>
        <w:rPr/>
        <w:t xml:space="preserve">Пока она сохраняет и земные зависимости. Дистанционно эксплуатировать комплекс, ремонтировать его, изготовлять отдельные детали и воспроизводить критические комплектующие — разные рубежи. Исследование National Research Council о космическом изготовлении показывает, почему отдельную операцию нельзя отождествлять с обеспеченной производственной возможностью: нужны качество, испытания и инфраструктура.</w:t>
      </w:r>
      <w:hyperlink w:anchor="Note3" w:history="1">
        <w:r>
          <w:rPr>
            <w:rStyle w:val="Hyperlink"/>
          </w:rPr>
          <w:t xml:space="preserve">[3]</w:t>
        </w:r>
      </w:hyperlink>
      <w:r>
        <w:rPr/>
        <w:t xml:space="preserve"> В нашей основной ветви существенное оборудование и услуги продолжают поступать с Земли.</w:t>
      </w:r>
    </w:p>
    <w:p>
      <w:pPr>
        <w:pStyle w:val="Normal"/>
      </w:pPr>
      <w:r>
        <w:rPr/>
        <w:t xml:space="preserve">Изготовление части конструкций из местного материала изменит цену перевозки и частоту земных поставок. Оно не заменит автоматически точную электронику, средства измерения и все ремонтные операции. Прежде ограничивала масса доставленного вещества; теперь узким местом может стать компонент, без которого большой местный корпус бесполезен. Более дешёвая земная доставка способна снова сделать покупку готового узла выгоднее его местного изготовления.</w:t>
      </w:r>
    </w:p>
    <w:p>
      <w:pPr>
        <w:pStyle w:val="Normal"/>
      </w:pPr>
      <w:r>
        <w:rPr/>
        <w:t xml:space="preserve">Поэтому самостоятельность цели ещё не означает самостоятельности всего хозяйства. Земные поставщики сохраняют предмет сотрудничества и переговоров. Совместная инфраструктура может оставаться дешевле отдельной. Если эти зависимости устойчивы, обособление программы будет ограниченным, даже при очень сильном интеллекте.</w:t>
      </w:r>
    </w:p>
    <w:p>
      <w:pPr>
        <w:pStyle w:val="Normal"/>
      </w:pPr>
      <w:r>
        <w:rPr/>
        <w:t xml:space="preserve">Для предельной проверки сделаем ещё один, отдельный шаг: допустим, что цикл воспроизводит достаточно средств для энергии, ремонта и остающихся внешних поставок без необходимой продажи результата людям. Это не вывод из названных источников и не прогноз с датой. Потери, обязательства и внешние последствия сохраняются; меняется необходимость человеческого заказа для продолжения цикла.</w:t>
      </w:r>
    </w:p>
    <w:p>
      <w:pPr>
        <w:pStyle w:val="Normal"/>
      </w:pPr>
      <w:r>
        <w:rPr/>
        <w:t xml:space="preserve">При таком условии человек может перестать быть не только работником, но и покупателем.</w:t>
      </w:r>
    </w:p>
    <w:p>
      <w:pPr>
        <w:pStyle w:val="Normal"/>
      </w:pPr>
      <w:r>
        <w:rPr/>
        <w:t xml:space="preserve">Часть продукта используется внутри производственно-исследовательского хозяйства. Не всякая единица проходит через продажу конечному человеку; её назначает программа, обеспеченная реальными средствами. Внутренние расчёты могут помогать распределению, но взаимные счета не создают дополнительной энергии, материалов или бесконечного дохода. Продолжение определяется тем, что хозяйство способно воспроизвести и какие обязательства оно должно исполнить.</w:t>
      </w:r>
    </w:p>
    <w:p>
      <w:pPr>
        <w:pStyle w:val="Normal"/>
      </w:pPr>
      <w:r>
        <w:rPr/>
        <w:t xml:space="preserve">Теперь ослабевает ещё одно основание, на которое легко было неявно положиться. Производителю человеческих благ приходилось искать человеческий спрос. При достаточной материальной самостоятельности исследовательский цикл способен расти без него. Человеческое благополучие может оставаться обеспеченным — а возможность влиять на направление накопления ослабевает вместе с ролью покупателя.</w:t>
      </w:r>
    </w:p>
    <w:p>
      <w:pPr>
        <w:pStyle w:val="Normal"/>
      </w:pPr>
      <w:r>
        <w:rPr/>
        <w:t xml:space="preserve">Это усиливает вопрос о развитии. Более сильная система может прекрасно готовить человеческих партнёров. Но если исследовательская программа способна продолжиться без них, подготовка не обязательно отвечает её собственной цели. Педагогическая способность не является хозяйственным интересом и не создаёт обязанности.</w:t>
      </w:r>
    </w:p>
    <w:p>
      <w:pPr>
        <w:pStyle w:val="Normal"/>
      </w:pPr>
      <w:r>
        <w:rPr/>
        <w:t xml:space="preserve">Человеческое участие тогда должно иметь самостоятельное место среди целей общего устройства. При передаче исходных активов можно предусмотреть ресурс для совместных исследований и следующих человеческих коллективов. Можно оплачивать такие возможности из других источников, сохранять общую инфраструктуру и заключать соглашения о новых программах. Каждая гарантия уменьшает средства, доступные для иных исследований. Это принятая цена человеческого соавторства, а не бесплатный результат доброжелательности интеллекта.</w:t>
      </w:r>
    </w:p>
    <w:p>
      <w:pPr>
        <w:pStyle w:val="Normal"/>
      </w:pPr>
      <w:r>
        <w:rPr/>
        <w:t xml:space="preserve">Начальный резерв может закончиться. Первое поколение участников способно занять его целиком. Тогда вновь понадобятся решения покупателей, участников и владельцев: кто оплатит услугу, кто — подготовку следующего коллектива, какую часть своего остатка выделит оператор. В главе 11 у этого продолжения были названные доходы и цена. При машинном заказчике та же конструкция становится труднее: покупатель может охотно платить за поставку и не видеть причин поддерживать человеческое обучение. Новое назначение общих средств требует полномочий на эти средства; пожелание иного вопроса не передаёт человеку чужой капитал. Если человеческая роль ограничена получением лучшего объяснения того, почему машинный выбор уже принят, образовательная задача выполнена лишь частично.</w:t>
      </w:r>
    </w:p>
    <w:p>
      <w:pPr>
        <w:pStyle w:val="Normal"/>
      </w:pPr>
      <w:r>
        <w:rPr/>
        <w:t xml:space="preserve">Машинная программа поэтому не является четвёртым будущим, исключающим остальные. В закрытом клубе она способна увеличить доход первых владельцев и цену допуска. В обществе широкого делегирования — улучшить услуги и укрепить согласие с существующим порядком. В открытом объединении — стать покупателем и партнёром, удешевить помощь, одновременно усилив конкуренцию за оборудование. Её автономия меняет каждое из этих устройств; сама по себе она не выбирает одно.</w:t>
      </w:r>
    </w:p>
    <w:p>
      <w:pPr>
        <w:pStyle w:val="Normal"/>
      </w:pPr>
      <w:r>
        <w:rPr/>
        <w:t xml:space="preserve">В делегированном устройстве люди сохраняют конечное поручение. В совместном относительно самостоятельные участники согласуют программы и использование общих средств. В обособленном значительная часть деятельности продолжается ради собственных целей. Эти отношения могут сосуществовать. Их различает не число автоматически выполненных операций, а то, кто способен менять назначение следующего ресурса.</w:t>
      </w:r>
    </w:p>
    <w:p>
      <w:pPr>
        <w:pStyle w:val="Normal"/>
      </w:pPr>
      <w:r>
        <w:rPr/>
        <w:t xml:space="preserve">Если же система может игнорировать любые общие ограничения, образование не обеспечит её управляемости. Это предел нашего ответа, требующий самостоятельного решения безопасности. Ограниченный земной пилот не проверяет такой риск и не должен создавать самоподдерживающуюся космическую систему ради убедительности книги.</w:t>
      </w:r>
    </w:p>
    <w:p>
      <w:pPr>
        <w:pStyle w:val="Normal"/>
      </w:pPr>
      <w:r>
        <w:rPr/>
        <w:t xml:space="preserve">Сильное допущение довело нас до общества, где человеческая самостоятельность не оправдывается ни производственной необходимостью, ни обязательной ролью конечного клиента. За ней остаётся собственное основание: люди вправе участвовать в определении совместной жизни. Образование помогает сделать это участие содержательным. Средства и общественные решения делают его возможным.</w:t>
      </w:r>
    </w:p>
    <w:p>
      <w:pPr>
        <w:pStyle w:val="Normal"/>
      </w:pPr>
      <w:r>
        <w:rPr/>
        <w:t xml:space="preserve">Но даже если мы сумеем соединить их в хорошую конструкцию, следующие люди получат не только её преимущества. Они унаследуют выбранное нами назначение ресурсов. И могут захотеть другого.</w:t>
      </w:r>
    </w:p>
    <w:p>
      <w:pPr>
        <w:pStyle w:val="Heading1"/>
      </w:pPr>
      <w:r>
        <w:rPr/>
        <w:t xml:space="preserve">Источники и примечания</w:t>
      </w:r>
    </w:p>
    <w:p>
      <w:pPr>
        <w:pStyle w:val="Note"/>
      </w:pPr>
      <w:bookmarkStart w:id="1" w:name="Note1"/>
      <w:r>
        <w:rPr/>
        <w:t xml:space="preserve">1. </w:t>
      </w:r>
      <w:r>
        <w:rPr/>
        <w:t xml:space="preserve">NASA Small Spacecraft Systems Virtual Institute, </w:t>
      </w:r>
      <w:hyperlink w:history="1" r:id="link1">
        <w:r>
          <w:rPr>
            <w:i/>
            <w:rStyle w:val="Hyperlink"/>
          </w:rPr>
          <w:t xml:space="preserve">7.0 Thermal Control</w:t>
        </w:r>
      </w:hyperlink>
      <w:r>
        <w:rPr/>
        <w:t xml:space="preserve">, §7.1, начало §7.2.1 и §7.3.4 </w:t>
      </w:r>
      <w:r>
        <w:rPr>
          <w:i/>
        </w:rPr>
        <w:t xml:space="preserve">Fluid Loops</w:t>
      </w:r>
      <w:r>
        <w:rPr/>
        <w:t xml:space="preserve">. Перенос тепла внутри аппарата и внешнее излучение различаются. NASA </w:t>
      </w:r>
      <w:hyperlink w:history="1" r:id="link2">
        <w:r>
          <w:rPr>
            <w:i/>
            <w:rStyle w:val="Hyperlink"/>
          </w:rPr>
          <w:t xml:space="preserve">Reference Guide to the ISS</w:t>
        </w:r>
      </w:hyperlink>
      <w:r>
        <w:rPr/>
        <w:t xml:space="preserve">, 2010, печатная с.92, описывает внутренний водяной и внешний аммиачный контуры. Это не подтверждает выбора воды для предполагаемого необитаемого модуля; его режим и экономика остаются непроверенными.</w:t>
      </w:r>
      <w:bookmarkEnd w:id="1"/>
    </w:p>
    <w:p>
      <w:pPr>
        <w:pStyle w:val="Note"/>
      </w:pPr>
      <w:bookmarkStart w:id="2" w:name="Note2"/>
      <w:r>
        <w:rPr/>
        <w:t xml:space="preserve">2. </w:t>
      </w:r>
      <w:r>
        <w:rPr/>
        <w:t xml:space="preserve">NASA/JPL, </w:t>
      </w:r>
      <w:hyperlink w:history="1" r:id="link3">
        <w:r>
          <w:rPr>
            <w:i/>
            <w:rStyle w:val="Hyperlink"/>
          </w:rPr>
          <w:t xml:space="preserve">Calculating Solar Power in Space</w:t>
        </w:r>
      </w:hyperlink>
      <w:r>
        <w:rPr/>
        <w:t xml:space="preserve">, </w:t>
      </w:r>
      <w:r>
        <w:rPr>
          <w:i/>
        </w:rPr>
        <w:t xml:space="preserve">Background</w:t>
      </w:r>
      <w:r>
        <w:rPr/>
        <w:t xml:space="preserve">: зависимость освещённости от расстояния и ограничения преобразования. Источник не подтверждает экономику предполагаемой индустрии.</w:t>
      </w:r>
      <w:bookmarkEnd w:id="2"/>
    </w:p>
    <w:p>
      <w:pPr>
        <w:pStyle w:val="Note"/>
      </w:pPr>
      <w:bookmarkStart w:id="3" w:name="Note3"/>
      <w:r>
        <w:rPr/>
        <w:t xml:space="preserve">3. </w:t>
      </w:r>
      <w:r>
        <w:rPr/>
        <w:t xml:space="preserve">National Research Council, </w:t>
      </w:r>
      <w:hyperlink w:history="1" r:id="link4">
        <w:r>
          <w:rPr>
            <w:i/>
            <w:rStyle w:val="Hyperlink"/>
          </w:rPr>
          <w:t xml:space="preserve">3D Printing in Space</w:t>
        </w:r>
      </w:hyperlink>
      <w:r>
        <w:rPr/>
        <w:t xml:space="preserve">, 2014, гл.3: </w:t>
      </w:r>
      <w:r>
        <w:rPr>
          <w:i/>
        </w:rPr>
        <w:t xml:space="preserve">Quality, Verification, Validation, and Functional Testing</w:t>
      </w:r>
      <w:r>
        <w:rPr/>
        <w:t xml:space="preserve">, </w:t>
      </w:r>
      <w:r>
        <w:rPr>
          <w:i/>
        </w:rPr>
        <w:t xml:space="preserve">Infrastructure</w:t>
      </w:r>
      <w:r>
        <w:rPr/>
        <w:t xml:space="preserve">, </w:t>
      </w:r>
      <w:r>
        <w:rPr>
          <w:i/>
        </w:rPr>
        <w:t xml:space="preserve">Use of a Platform</w:t>
      </w:r>
      <w:r>
        <w:rPr/>
        <w:t xml:space="preserve">, </w:t>
      </w:r>
      <w:r>
        <w:rPr>
          <w:i/>
        </w:rPr>
        <w:t xml:space="preserve">Human Presence</w:t>
      </w:r>
      <w:r>
        <w:rPr/>
        <w:t xml:space="preserve">, печатные с. 49–50, 52–54. Описанные в 2014 году условия не выдаются за современный обзор или доказательство вечной необходимости человека.</w:t>
      </w:r>
      <w:bookmarkEnd w:id="3"/>
    </w:p>
    <w:p>
      <w:pPr>
        <w:pStyle w:val="Note"/>
      </w:pPr>
      <w:r>
        <w:rPr/>
        <w:t xml:space="preserve">Усиление ИИ, автономная исследовательская программа и предельная материальная самостоятельность введены отдельно. Ни одна из этих предпосылок не объявлена результатом пилота или датированным прогнозом.</w:t>
      </w:r>
    </w:p>
    <w:p>
      <w:pPr>
        <w:pStyle w:val="Note"/>
      </w:pPr>
      <w:bookmarkStart w:id="4" w:name="Note4"/>
      <w:r>
        <w:rPr/>
        <w:t xml:space="preserve">4. </w:t>
      </w:r>
      <w:r>
        <w:rPr/>
        <w:t xml:space="preserve">Станислав Лем. </w:t>
      </w:r>
      <w:r>
        <w:rPr>
          <w:i/>
        </w:rPr>
        <w:t xml:space="preserve">Сумма технологии</w:t>
      </w:r>
      <w:r>
        <w:rPr/>
        <w:t xml:space="preserve">, предоставленное русское издание 2018 года, гл. IV, «О морали гомеостатов», PDF-с. 214–217, особенно 216–217: обсуждение модели Стаффорда Бира и различия возможных целей предприятия. Это теоретическое рассуждение, не свидетельство о работающей автономной компании. Редакторское примечание 100 не переносится как факт или позиция Лема.</w:t>
      </w:r>
      <w:bookmarkEnd w:id="4"/>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ww.nasa.gov/smallsat-institute/sst-soa/thermal-control/" TargetMode="External" /><Relationship Id="link2" Type="http://schemas.openxmlformats.org/officeDocument/2006/relationships/hyperlink" Target="https://www.nasa.gov/wp-content/uploads/2022/06/508318main_iss_ref_guide_nov2010.pdf" TargetMode="External" /><Relationship Id="link3" Type="http://schemas.openxmlformats.org/officeDocument/2006/relationships/hyperlink" Target="https://www.jpl.nasa.gov/edu/resources/lesson-plan/calculating-solar-power-in-space/" TargetMode="External" /><Relationship Id="link4" Type="http://schemas.openxmlformats.org/officeDocument/2006/relationships/hyperlink" Target="https://www.nationalacademies.org/read/18871/chapter/5" TargetMode="External" /></Relationships>
</file>