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Пролог. Право на решение</w:t>
      </w:r>
    </w:p>
    <w:p>
      <w:pPr>
        <w:pStyle w:val="Subtitle"/>
      </w:pPr>
      <w:r>
        <w:rPr/>
        <w:t xml:space="preserve">Право на решение · версия 8.0</w:t>
      </w:r>
    </w:p>
    <w:p>
      <w:pPr>
        <w:pStyle w:val="Normal"/>
      </w:pPr>
      <w:r>
        <w:rPr/>
        <w:t xml:space="preserve">Сначала машины сделали английских ткачей богаче.</w:t>
      </w:r>
    </w:p>
    <w:p>
      <w:pPr>
        <w:pStyle w:val="Normal"/>
      </w:pPr>
      <w:r>
        <w:rPr/>
        <w:t xml:space="preserve">Фабричное прядение давало всё больше нити. Превратить её в ткань ещё предстояло людям, и спрос на их работу рос. В исследовании экономического историка Роберта Аллена эта короткая полоса благополучия предшествует разорению: когда распространилось механическое ткачество, прежнее умение перестало обеспечивать прежний заработок.</w:t>
      </w:r>
      <w:hyperlink w:anchor="Note1" w:history="1">
        <w:r>
          <w:rPr>
            <w:rStyle w:val="Hyperlink"/>
          </w:rPr>
          <w:t xml:space="preserve">[1]</w:t>
        </w:r>
      </w:hyperlink>
      <w:r>
        <w:rPr/>
        <w:t xml:space="preserve"> Машина сначала расширила место человека в производстве, а затем заняла его.</w:t>
      </w:r>
    </w:p>
    <w:p>
      <w:pPr>
        <w:pStyle w:val="Normal"/>
      </w:pPr>
      <w:r>
        <w:rPr/>
        <w:t xml:space="preserve">28 июля 1835 года Джон Бауринг говорил в британском парламенте о ткачах Дакки, чью продукцию вытесняла английская промышленность. Он сообщил, что многие умерли от голода, и в той же речи рассуждал о промышленном прогрессе.</w:t>
      </w:r>
      <w:hyperlink w:anchor="Note2" w:history="1">
        <w:r>
          <w:rPr>
            <w:rStyle w:val="Hyperlink"/>
          </w:rPr>
          <w:t xml:space="preserve">[2]</w:t>
        </w:r>
      </w:hyperlink>
    </w:p>
    <w:p>
      <w:pPr>
        <w:pStyle w:val="Normal"/>
      </w:pPr>
      <w:r>
        <w:rPr/>
        <w:t xml:space="preserve">В одной речи поместились и погибшие люди, и экономический успех.</w:t>
      </w:r>
    </w:p>
    <w:p>
      <w:pPr>
        <w:pStyle w:val="Normal"/>
      </w:pPr>
      <w:r>
        <w:rPr/>
        <w:t xml:space="preserve">Мы привыкли объяснять такую историю переходом. Возникают другие занятия, дешевеют товары, следующие поколения живут лучше. Но человек не живёт несколько поколений. Его единственная жизнь может целиком попасть между исчезновением старого места и появлением нового. Будущее, которое оправдывает переход, не обязано успеть к нему.</w:t>
      </w:r>
    </w:p>
    <w:p>
      <w:pPr>
        <w:pStyle w:val="Normal"/>
      </w:pPr>
      <w:r>
        <w:rPr/>
        <w:t xml:space="preserve">Этот разрыв знаком. Поэтому разговор об искусственном интеллекте легко начинается с обещания его смягчить: помочь сменить профессию, открыть другое дело, договориться о поддержке на время перехода. У каждого решения есть цена и тот, кто её принимает. Но даже удачное решение этой задачи может оставить другую незавершённую работу.</w:t>
      </w:r>
    </w:p>
    <w:p>
      <w:pPr>
        <w:pStyle w:val="Normal"/>
      </w:pPr>
      <w:r>
        <w:rPr/>
        <w:t xml:space="preserve">Допустим, людям удалось избежать массовой нужды. Сильный искусственный интеллект создаёт достаток, лечит, помогает понимать сложное, освобождает время. Он способен исследовать неизвестное, находить ошибки в собственных решениях и придумывать новые способы действия. Перед нами не машина, которую в решающую минуту обязательно спасёт человеческая интуиция.</w:t>
      </w:r>
    </w:p>
    <w:p>
      <w:pPr>
        <w:pStyle w:val="Normal"/>
      </w:pPr>
      <w:r>
        <w:rPr/>
        <w:t xml:space="preserve">Пусть она не откажет.</w:t>
      </w:r>
    </w:p>
    <w:p>
      <w:pPr>
        <w:pStyle w:val="Normal"/>
      </w:pPr>
      <w:r>
        <w:rPr/>
        <w:t xml:space="preserve">Тогда у человека появится больше возможностей учиться. Терпеливый собеседник объяснит то, на что прежде уходили годы; поможет поставить опыт, найти единомышленников, начать работу. И одновременно производству может стать всё меньше нужно, чтобы этот человек научился. Новое знание, следующую конструкцию и следующий способ исследования система получит раньше, чем он освоит предыдущие.</w:t>
      </w:r>
    </w:p>
    <w:p>
      <w:pPr>
        <w:pStyle w:val="Normal"/>
      </w:pPr>
      <w:r>
        <w:rPr/>
        <w:t xml:space="preserve">Две надежды, которые мы привыкли связывать, здесь расходятся. Средства развития совершенствуются. Необходимость развивать людей ради технического продолжения ослабевает.</w:t>
      </w:r>
    </w:p>
    <w:p>
      <w:pPr>
        <w:pStyle w:val="Normal"/>
      </w:pPr>
      <w:r>
        <w:rPr/>
        <w:t xml:space="preserve">Из этого не следует, что люди перестанут хотеть, думать или создавать. Возникает более трудный вопрос: как их желание получит продолжение в мире, где хороший результат можно обеспечить без него? Любознательному человеку недостаточно ответа, если он хочет провести собственное исследование. Группе недостаточно готового изделия, если она пытается создать другое дело. Следующему поколению недостаточно пользоваться решениями предыдущего, если все средства изменения этих решений навсегда остались у их авторов.</w:t>
      </w:r>
    </w:p>
    <w:p>
      <w:pPr>
        <w:pStyle w:val="Normal"/>
      </w:pPr>
      <w:r>
        <w:rPr/>
        <w:t xml:space="preserve">Можно быть хорошо обеспеченным и всё же жить по чужому замыслу. Можно добровольно доверить многое более сильному интеллекту — и нуждаться в возможности однажды изменить это доверие. Разница обнаружится в тот момент, когда мы захотим не получить ещё одну услугу, а направить часть общей деятельности иначе.</w:t>
      </w:r>
    </w:p>
    <w:p>
      <w:pPr>
        <w:pStyle w:val="Normal"/>
      </w:pPr>
      <w:r>
        <w:rPr/>
        <w:t xml:space="preserve">Книга начинается с вопроса: </w:t>
      </w:r>
      <w:r>
        <w:rPr>
          <w:b/>
        </w:rPr>
        <w:t xml:space="preserve">как спроектировать развитие человека, когда оно перестаёт быть необходимым условием получения технического результата?</w:t>
      </w:r>
    </w:p>
    <w:p>
      <w:pPr>
        <w:pStyle w:val="Normal"/>
      </w:pPr>
      <w:r>
        <w:rPr/>
        <w:t xml:space="preserve">Наш ответ носит странное имя — «образование, которого нет». Мы ищем его не в отдельном мире подготовки к будущей жизни. Оно должно возникать внутри дела, которое люди способны осваивать, продолжать и менять вместе с более сильным интеллектом. Учёба здесь меняет не только представления участника. Она открывает следующий участок действия, а затем позволяет начать то, чего прежняя организация не предусматривала.</w:t>
      </w:r>
    </w:p>
    <w:p>
      <w:pPr>
        <w:pStyle w:val="Normal"/>
      </w:pPr>
      <w:r>
        <w:rPr/>
        <w:t xml:space="preserve">Нельзя заранее считать, что для этого нужна особая школа. Возможно, доступных средств и хорошего ИИ окажется достаточно. Возможно, решающим станет устройство собственности. Возможно, обнаружится небольшой образовательный переход, без которого открытая дверь остаётся почти недоступной. Нам предстоит различить эти случаи, чтобы не лечить недостаток денег лекцией и не принимать выделенный бюджет за появившуюся способность.</w:t>
      </w:r>
    </w:p>
    <w:p>
      <w:pPr>
        <w:pStyle w:val="Normal"/>
      </w:pPr>
      <w:r>
        <w:rPr/>
        <w:t xml:space="preserve">Мы обратимся к инженеру, который долго испытывал цемент, прежде чем увидел в привычном кубике исследовательскую задачу. Проследим, как из работающей организации возникает следующая — и почему иногда не возникает. Вообразим добычу в космосе, чтобы довести вопрос до мира, где сильная техника меняет не только труд, но и круг тех, кто заказывает её будущее.</w:t>
      </w:r>
    </w:p>
    <w:p>
      <w:pPr>
        <w:pStyle w:val="Normal"/>
      </w:pPr>
      <w:r>
        <w:rPr/>
        <w:t xml:space="preserve">Человек свободен выбирать своё дело. Его достоинство не требует победы над машиной; вознаграждение и власть над конкретным ресурсом требуют собственных оснований — созданной ценности, приобретённой собственности, принятого обязательства. Желание исследовать не даёт права назначить плательщиком другого. Поэтому нам предстоит найти людей и организации, готовых соединить свои возможности, и понять, почему они захотят продолжать.</w:t>
      </w:r>
    </w:p>
    <w:p>
      <w:pPr>
        <w:pStyle w:val="Normal"/>
      </w:pPr>
      <w:r>
        <w:rPr/>
        <w:t xml:space="preserve">Самое трудное начнётся после успеха. Первые участники научатся, заработают, построят своё. Теперь следующий новичок попросит время их оборудования и может вырасти в их конкурента. У них появятся веские причины отказать. У книги, которая обещает воспроизводство самостоятельности, здесь ещё нет права закончиться.</w:t>
      </w:r>
    </w:p>
    <w:p>
      <w:pPr>
        <w:pStyle w:val="Normal"/>
      </w:pPr>
      <w:r>
        <w:rPr/>
        <w:t xml:space="preserve">Как сохранить путь нового начала, когда те, кому он однажды помог, уже заинтересованы в сохранении своего положения?</w:t>
      </w:r>
    </w:p>
    <w:p>
      <w:pPr>
        <w:pStyle w:val="Heading1"/>
      </w:pPr>
      <w:r>
        <w:rPr/>
        <w:t xml:space="preserve">Источники и примечания</w:t>
      </w:r>
    </w:p>
    <w:p>
      <w:pPr>
        <w:pStyle w:val="Note"/>
      </w:pPr>
      <w:bookmarkStart w:id="1" w:name="Note1"/>
      <w:r>
        <w:rPr/>
        <w:t xml:space="preserve">1. </w:t>
      </w:r>
      <w:r>
        <w:rPr/>
        <w:t xml:space="preserve">Robert C. Allen. </w:t>
      </w:r>
      <w:r>
        <w:rPr>
          <w:i/>
        </w:rPr>
        <w:t xml:space="preserve">The hand-loom weaver and the power loom: a Schumpeterian perspective</w:t>
      </w:r>
      <w:r>
        <w:rPr/>
        <w:t xml:space="preserve"> (2016). </w:t>
      </w:r>
      <w:hyperlink w:history="1" r:id="link1">
        <w:r>
          <w:rPr>
            <w:rStyle w:val="Hyperlink"/>
          </w:rPr>
          <w:t xml:space="preserve">Авторская аннотация на сайте Оксфорда</w:t>
        </w:r>
      </w:hyperlink>
      <w:r>
        <w:rPr/>
        <w:t xml:space="preserve">, абзацы 1–4, ограниченно проверены 6 сентября 2026 года. Она поддерживает качественную последовательность спроса и обесценения навыка; численные оценки заработка здесь не используются.</w:t>
      </w:r>
      <w:bookmarkEnd w:id="1"/>
    </w:p>
    <w:p>
      <w:pPr>
        <w:pStyle w:val="Note"/>
      </w:pPr>
      <w:bookmarkStart w:id="2" w:name="Note2"/>
      <w:r>
        <w:rPr/>
        <w:t xml:space="preserve">2. </w:t>
      </w:r>
      <w:hyperlink w:history="1" r:id="link2">
        <w:r>
          <w:rPr>
            <w:rStyle w:val="Hyperlink"/>
          </w:rPr>
          <w:t xml:space="preserve">Hansard, Hand-Loom Weavers, 28 July 1835</w:t>
        </w:r>
      </w:hyperlink>
      <w:r>
        <w:rPr/>
        <w:t xml:space="preserve">, vol. 29, cc. 1169–1170, речь Dr. Bowring. Проверен фрагмент с окружением 6 сентября 2026 года. Сообщение о голоде передано с атрибуцией оратору; упомянутая им переписка отдельно не исследовалась.</w:t>
      </w:r>
      <w:bookmarkEnd w:id="2"/>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economics.ox.ac.uk/publication/1143610/ora-hyrax" TargetMode="External" /><Relationship Id="link2" Type="http://schemas.openxmlformats.org/officeDocument/2006/relationships/hyperlink" Target="https://api.parliament.uk/historic-hansard/commons/1835/jul/28/hand-loom-weavers" TargetMode="External" /></Relationships>
</file>