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STYLE-01. Лёгкая футурологическая проза с научной глубиной</w:t>
      </w:r>
    </w:p>
    <w:p>
      <w:r>
        <w:t>Версия 1.0 · 5 сентября 2026 года · Обязательное редакционное правило</w:t>
      </w:r>
    </w:p>
    <w:p>
      <w:r>
        <w:t>Основание: прямое пожелание автора о футуристическом, лёгком и увлекательном стиле при сохранении научной глубины, фактуры, подхода и проверок. Евгений Кузнецов назван автором как ориентир публичной подачи. Ниже зафиксированы общие приёмы и самостоятельный голос книги; индивидуальная манера другого автора не воспроизводится.</w:t>
      </w:r>
    </w:p>
    <w:p>
      <w:pPr>
        <w:pStyle w:val="Heading1"/>
      </w:pPr>
      <w:r>
        <w:t>1. Правило для всей редакции</w:t>
      </w:r>
    </w:p>
    <w:p>
      <w:r/>
      <w:r>
        <w:rPr>
          <w:b/>
        </w:rPr>
        <w:t>«Право на решение» пишется как лёгкая, образная футурологическая книга с научно проверяемыми основаниями. Читатель движется через понятные ситуации, неожиданные связи, объяснение механизмов и последствия человеческого выбора. Сложные идеи раскрываются ясным русским языком. Источники, методы и расчёты доступны в научном аппарате; условия, от которых зависит истинность вывода, остаются рядом с ним в основном тексте. Будущие сцены обозначаются как сценарии. Литературная выразительность сохраняет точность фактов, авторскую позицию и границы знания.</w:t>
      </w:r>
      <w:r/>
    </w:p>
    <w:p>
      <w:r>
        <w:t>Научный аппарат позволяет проверить рассуждение и углубиться в него. Основной текст сам содержит аргумент, необходимую фактуру, сильное возражение и существенные ограничения. После удаления примечаний он должен оставаться честным и понятным.</w:t>
      </w:r>
    </w:p>
    <w:p>
      <w:r>
        <w:t>Жанровая формула: интеллектуальное путешествие в возможное будущее инженерии, образования и общественных решений. Интонация — любознательная, ясная, энергичная, уважительная к читателю. Автор исследует возможности и объясняет, как на них влиять.</w:t>
      </w:r>
    </w:p>
    <w:p>
      <w:pPr>
        <w:pStyle w:val="Heading1"/>
      </w:pPr>
      <w:r>
        <w:t>2. Что видно в публичной подаче Евгения Кузнецова</w:t>
      </w:r>
    </w:p>
    <w:p>
      <w:r>
        <w:t>Изучены опубликованные интервью и редакционные изложения выступлений. Это ограниченная выборка публичной речи, прошедшей обработку журналистов; наблюдения не претендуют на описание всего авторского стиля. Даты ниже относятся к публикациям, а не к подтверждению прогнозов. Содержание прогнозов здесь не проверялось как основание научных тезисов книги.</w:t>
      </w:r>
    </w:p>
    <w:p>
      <w:pPr>
        <w:pStyle w:val="Heading2"/>
      </w:pPr>
      <w:r>
        <w:t>Широкий горизонт с возвращением к человеку</w:t>
      </w:r>
    </w:p>
    <w:p>
      <w:r>
        <w:t xml:space="preserve">В изложении выступления на RB.RU Кузнецов переходит от автоматизации и технологических изменений к профессии, обучению и ответственности людей. Масштаб расширяется, но последствия остаются узнаваемыми для отдельного читателя. Разговорная организация рассуждения облегчает переход между темами. Это основание для редакционного наблюдения о смене масштаба. </w:t>
      </w:r>
      <w:hyperlink r:id="rId10">
        <w:r>
          <w:rPr>
            <w:color w:val="17607D"/>
            <w:u w:val="single"/>
          </w:rPr>
          <w:t>RB.RU, публикация 18 декабря 2020 года</w:t>
        </w:r>
      </w:hyperlink>
      <w:r>
        <w:t>.</w:t>
      </w:r>
    </w:p>
    <w:p>
      <w:pPr>
        <w:pStyle w:val="Heading2"/>
      </w:pPr>
      <w:r>
        <w:t>Будущее через знакомые предметы и экономический механизм</w:t>
      </w:r>
    </w:p>
    <w:p>
      <w:r>
        <w:t xml:space="preserve">В интервью о реабилитации обсуждение больших технологических сдвигов возвращается к квартире, носимым устройствам и повседневной помощи человеку. Отдельная линия объяснения связывает возможность технологии с массовым рынком, стоимостью и распространением. В ответах встречаются и ограничения, связанные с проверкой технологий и устройством жизни. Для книги полезно соединение предметной картинки, механизма и последствия. </w:t>
      </w:r>
      <w:hyperlink r:id="rId11">
        <w:r>
          <w:rPr>
            <w:color w:val="17607D"/>
            <w:u w:val="single"/>
          </w:rPr>
          <w:t>Интервью «Просто о реабилитации»</w:t>
        </w:r>
      </w:hyperlink>
      <w:r>
        <w:t>, дата публикации на прочитанной странице не установлена; доступ 5 сентября 2026 года.</w:t>
      </w:r>
    </w:p>
    <w:p>
      <w:pPr>
        <w:pStyle w:val="Heading2"/>
      </w:pPr>
      <w:r>
        <w:t>Перевод общего тренда в изменение института</w:t>
      </w:r>
    </w:p>
    <w:p>
      <w:r>
        <w:t xml:space="preserve">В интервью ИТМО разговор о технологическом развитии приводит к конкретному вопросу: что университет должен уметь делать, чтобы готовить людей к изменяющимся рынкам. Подобный переход превращает будущее в задачу для действующего участника. </w:t>
      </w:r>
      <w:hyperlink r:id="rId12">
        <w:r>
          <w:rPr>
            <w:color w:val="17607D"/>
            <w:u w:val="single"/>
          </w:rPr>
          <w:t>Интервью ИТМО, 4 апреля 2016 года</w:t>
        </w:r>
      </w:hyperlink>
      <w:r>
        <w:t>.</w:t>
      </w:r>
    </w:p>
    <w:p>
      <w:pPr>
        <w:pStyle w:val="Heading2"/>
      </w:pPr>
      <w:r>
        <w:t>Исторический масштаб и пересмотр привычной функции</w:t>
      </w:r>
    </w:p>
    <w:p>
      <w:r>
        <w:t xml:space="preserve">В материалах дискуссии о будущем университетов его реплики связывают историю образовательных институтов с вопросом о подготовке инженера, способного создавать новое. Здесь заметен приём: рассмотреть привычный институт со стороны его функции, затем показать, как изменение среды заставляет эту функцию пересобрать. Это наблюдение о композиции реплик; исторические обобщения требуют самостоятельной проверки. </w:t>
      </w:r>
      <w:hyperlink r:id="rId13">
        <w:r>
          <w:rPr>
            <w:color w:val="17607D"/>
            <w:u w:val="single"/>
          </w:rPr>
          <w:t>«Теории и практики», материал о будущем университетов</w:t>
        </w:r>
      </w:hyperlink>
      <w:r>
        <w:t>, доступ 5 сентября 2026 года.</w:t>
      </w:r>
    </w:p>
    <w:p>
      <w:pPr>
        <w:pStyle w:val="Heading2"/>
      </w:pPr>
      <w:r>
        <w:t>Энергия формулировки требует отдельного контроля уверенности</w:t>
      </w:r>
    </w:p>
    <w:p>
      <w:r>
        <w:t xml:space="preserve">В газетном изложении выступления о рынке труда есть широкие обобщения, образные объяснения ускорения и категоричные прогнозы. Они создают ощущение скорости и масштаба. Для нашей редакции степень уверенности определяется карточкой доказательств; риторическая убедительность не является основанием прогноза. </w:t>
      </w:r>
      <w:hyperlink r:id="rId14">
        <w:r>
          <w:rPr>
            <w:color w:val="17607D"/>
            <w:u w:val="single"/>
          </w:rPr>
          <w:t>Metro, 5 июля 2025 года</w:t>
        </w:r>
      </w:hyperlink>
      <w:r>
        <w:t>.</w:t>
      </w:r>
    </w:p>
    <w:p>
      <w:r>
        <w:t>Вывод редакции по выборке: полезный ориентир — разговор с образованным собеседником, который умеет связать технологию, экономику, институт и человеческую жизнь. Заимствуются общие инструменты объяснения: смена масштаба, конкретный пример, понятная аналогия, механизм и практическое последствие. Словарь, ритм, метафоры и авторские формулировки книги создаются самостоятельно.</w:t>
      </w:r>
    </w:p>
    <w:p>
      <w:pPr>
        <w:pStyle w:val="Heading1"/>
      </w:pPr>
      <w:r>
        <w:t>3. Как правило работает в тексте</w:t>
      </w:r>
    </w:p>
    <w:p>
      <w:r>
        <w:t xml:space="preserve">1. </w:t>
      </w:r>
      <w:r>
        <w:rPr>
          <w:b/>
        </w:rPr>
        <w:t>Вход через любопытство.</w:t>
      </w:r>
      <w:r>
        <w:t xml:space="preserve"> Начало главы даёт ситуацию, наблюдение, парадокс или выбор, который хочется понять. Формальный обзор литературы получает место там, где он помогает ответить на уже возникший вопрос. Варианты начала чередуются.</w:t>
      </w:r>
    </w:p>
    <w:p>
      <w:r>
        <w:t xml:space="preserve">2. </w:t>
      </w:r>
      <w:r>
        <w:rPr>
          <w:b/>
        </w:rPr>
        <w:t>Футуристичность через изменения жизни.</w:t>
      </w:r>
      <w:r>
        <w:t xml:space="preserve"> Показывать, как меняются работа, обучение, полномочия, город, профессия или отношения. Техническое название и календарная дата сами по себе не создают образ будущего.</w:t>
      </w:r>
    </w:p>
    <w:p>
      <w:r>
        <w:t xml:space="preserve">3. </w:t>
      </w:r>
      <w:r>
        <w:rPr>
          <w:b/>
        </w:rPr>
        <w:t>Глубина через механизм.</w:t>
      </w:r>
      <w:r>
        <w:t xml:space="preserve"> Для опорной идеи объяснить, что изменяется, через какие действия возникает эффект, при каких условиях он проявляется и когда вывод перестаёт работать. Ни эффектная сцена, ни количество ссылок не заменяют этого объяснения.</w:t>
      </w:r>
    </w:p>
    <w:p>
      <w:r>
        <w:t xml:space="preserve">4. </w:t>
      </w:r>
      <w:r>
        <w:rPr>
          <w:b/>
        </w:rPr>
        <w:t>Одна новая трудность за раз.</w:t>
      </w:r>
      <w:r>
        <w:t xml:space="preserve"> Вводить термин, когда он помогает различить важные вещи; сразу давать понятную опору. Чередовать насыщенное объяснение с примером, последствием или короткой развязкой. Длину фраз выбирать по мысли, без обязательной рублености.</w:t>
      </w:r>
    </w:p>
    <w:p>
      <w:r>
        <w:t xml:space="preserve">5. </w:t>
      </w:r>
      <w:r>
        <w:rPr>
          <w:b/>
        </w:rPr>
        <w:t>Предметность и точные глаголы.</w:t>
      </w:r>
      <w:r>
        <w:t xml:space="preserve"> Делать видимыми того, кто выбирает, проверяет, ошибается, учится или меняет правило. Сохранять необходимую терминологию, объясняя её знакомыми словами. Канцелярские обороты, повторяющие смысл без добавления содержания, сокращать.</w:t>
      </w:r>
    </w:p>
    <w:p>
      <w:r>
        <w:t xml:space="preserve">6. </w:t>
      </w:r>
      <w:r>
        <w:rPr>
          <w:b/>
        </w:rPr>
        <w:t>Честный интерес.</w:t>
      </w:r>
      <w:r>
        <w:t xml:space="preserve"> Напряжение строится на неизвестности, конфликте разумных целей и цене выбора. Существенное ограничение не прячется ради позднего сюжетного эффекта. Противоположная позиция получает сильный аргумент.</w:t>
      </w:r>
    </w:p>
    <w:p>
      <w:r>
        <w:t xml:space="preserve">7. </w:t>
      </w:r>
      <w:r>
        <w:rPr>
          <w:b/>
        </w:rPr>
        <w:t>Несколько возможных будущих.</w:t>
      </w:r>
      <w:r>
        <w:t xml:space="preserve"> Для центрального сценария показать предпосылки и альтернативный ход событий. Новые возможности, удачная автономия ИИ, творчество и доступное обучение получают такую же конкретность, как риски. Читатель видит действия, способные изменить траекторию.</w:t>
      </w:r>
    </w:p>
    <w:p>
      <w:r>
        <w:t xml:space="preserve">8. </w:t>
      </w:r>
      <w:r>
        <w:rPr>
          <w:b/>
        </w:rPr>
        <w:t>Долгая жизнь объяснения.</w:t>
      </w:r>
      <w:r>
        <w:t xml:space="preserve"> В центре главы остаются механизм и институциональный вопрос. Быстро меняющиеся названия моделей, рекорды и рыночные цифры датируются и при необходимости размещаются в обновляемом примечании. Существенная для аргумента современная фактура остаётся в основном тексте.</w:t>
      </w:r>
    </w:p>
    <w:p>
      <w:r>
        <w:t>Это композиционные инструменты, а не единый шаблон для каждой главы. Не требуется начинать все главы с будущей катастрофы, добавлять одинаковое число метафор или завершать каждый абзац афоризмом.</w:t>
      </w:r>
    </w:p>
    <w:p>
      <w:pPr>
        <w:pStyle w:val="Heading1"/>
      </w:pPr>
      <w:r>
        <w:t>4. Два уровня чтения</w:t>
      </w:r>
    </w:p>
    <w:tbl>
      <w:tblPr>
        <w:tblStyle w:val="LightShading-Accent1"/>
        <w:tblW w:type="auto" w:w="0"/>
        <w:tblLook w:firstColumn="1" w:firstRow="1" w:lastColumn="0" w:lastRow="0" w:noHBand="0" w:noVBand="1" w:val="04A0"/>
      </w:tblPr>
      <w:tblGrid>
        <w:gridCol w:w="4939"/>
        <w:gridCol w:w="4939"/>
      </w:tblGrid>
      <w:tr>
        <w:trPr>
          <w:tblHeader/>
          <w:cantSplit/>
        </w:trPr>
        <w:tc>
          <w:tcPr>
            <w:tcW w:type="dxa" w:w="4939"/>
          </w:tcPr>
          <w:p>
            <w:pPr>
              <w:spacing w:after="80"/>
            </w:pPr>
            <w:r>
              <w:rPr>
                <w:sz w:val="18"/>
              </w:rPr>
              <w:t>В основном тексте</w:t>
            </w:r>
          </w:p>
        </w:tc>
        <w:tc>
          <w:tcPr>
            <w:tcW w:type="dxa" w:w="4939"/>
          </w:tcPr>
          <w:p>
            <w:pPr>
              <w:spacing w:after="80"/>
            </w:pPr>
            <w:r>
              <w:rPr>
                <w:sz w:val="18"/>
              </w:rPr>
              <w:t>В примечаниях и приложениях</w:t>
            </w:r>
          </w:p>
        </w:tc>
      </w:tr>
      <w:tr>
        <w:trPr>
          <w:cantSplit/>
        </w:trPr>
        <w:tc>
          <w:tcPr>
            <w:tcW w:type="dxa" w:w="4939"/>
          </w:tcPr>
          <w:p>
            <w:pPr>
              <w:spacing w:after="80"/>
            </w:pPr>
            <w:r>
              <w:rPr>
                <w:sz w:val="18"/>
              </w:rPr>
              <w:t>Ситуация, вопрос, важные факты, механизм и последствия</w:t>
            </w:r>
          </w:p>
        </w:tc>
        <w:tc>
          <w:tcPr>
            <w:tcW w:type="dxa" w:w="4939"/>
          </w:tcPr>
          <w:p>
            <w:pPr>
              <w:spacing w:after="80"/>
            </w:pPr>
            <w:r>
              <w:rPr>
                <w:sz w:val="18"/>
              </w:rPr>
              <w:t>Полные библиографические сведения и точные локаторы</w:t>
            </w:r>
          </w:p>
        </w:tc>
      </w:tr>
      <w:tr>
        <w:trPr>
          <w:cantSplit/>
        </w:trPr>
        <w:tc>
          <w:tcPr>
            <w:tcW w:type="dxa" w:w="4939"/>
          </w:tcPr>
          <w:p>
            <w:pPr>
              <w:spacing w:after="80"/>
            </w:pPr>
            <w:r>
              <w:rPr>
                <w:sz w:val="18"/>
              </w:rPr>
              <w:t>Содержательное различие, которое вводит термин</w:t>
            </w:r>
          </w:p>
        </w:tc>
        <w:tc>
          <w:tcPr>
            <w:tcW w:type="dxa" w:w="4939"/>
          </w:tcPr>
          <w:p>
            <w:pPr>
              <w:spacing w:after="80"/>
            </w:pPr>
            <w:r>
              <w:rPr>
                <w:sz w:val="18"/>
              </w:rPr>
              <w:t>Подробная история термина и сопоставление определений</w:t>
            </w:r>
          </w:p>
        </w:tc>
      </w:tr>
      <w:tr>
        <w:trPr>
          <w:cantSplit/>
        </w:trPr>
        <w:tc>
          <w:tcPr>
            <w:tcW w:type="dxa" w:w="4939"/>
          </w:tcPr>
          <w:p>
            <w:pPr>
              <w:spacing w:after="80"/>
            </w:pPr>
            <w:r>
              <w:rPr>
                <w:sz w:val="18"/>
              </w:rPr>
              <w:t>Существенное ограничение, популяция и контекст исследования, если от них зависит вывод</w:t>
            </w:r>
          </w:p>
        </w:tc>
        <w:tc>
          <w:tcPr>
            <w:tcW w:type="dxa" w:w="4939"/>
          </w:tcPr>
          <w:p>
            <w:pPr>
              <w:spacing w:after="80"/>
            </w:pPr>
            <w:r>
              <w:rPr>
                <w:sz w:val="18"/>
              </w:rPr>
              <w:t>Детали дизайна, дополнительные проверки, интервалы и таблицы, которые не нужны для понимания основного шага</w:t>
            </w:r>
          </w:p>
        </w:tc>
      </w:tr>
      <w:tr>
        <w:trPr>
          <w:cantSplit/>
        </w:trPr>
        <w:tc>
          <w:tcPr>
            <w:tcW w:type="dxa" w:w="4939"/>
          </w:tcPr>
          <w:p>
            <w:pPr>
              <w:spacing w:after="80"/>
            </w:pPr>
            <w:r>
              <w:rPr>
                <w:sz w:val="18"/>
              </w:rPr>
              <w:t>Сильное возражение и честный ответ</w:t>
            </w:r>
          </w:p>
        </w:tc>
        <w:tc>
          <w:tcPr>
            <w:tcW w:type="dxa" w:w="4939"/>
          </w:tcPr>
          <w:p>
            <w:pPr>
              <w:spacing w:after="80"/>
            </w:pPr>
            <w:r>
              <w:rPr>
                <w:sz w:val="18"/>
              </w:rPr>
              <w:t>Расширенная дискуссия, дополнительные альтернативы и чувствительность к допущениям</w:t>
            </w:r>
          </w:p>
        </w:tc>
      </w:tr>
      <w:tr>
        <w:trPr>
          <w:cantSplit/>
        </w:trPr>
        <w:tc>
          <w:tcPr>
            <w:tcW w:type="dxa" w:w="4939"/>
          </w:tcPr>
          <w:p>
            <w:pPr>
              <w:spacing w:after="80"/>
            </w:pPr>
            <w:r>
              <w:rPr>
                <w:sz w:val="18"/>
              </w:rPr>
              <w:t>Понятный расчёт, когда без него неясен механизм</w:t>
            </w:r>
          </w:p>
        </w:tc>
        <w:tc>
          <w:tcPr>
            <w:tcW w:type="dxa" w:w="4939"/>
          </w:tcPr>
          <w:p>
            <w:pPr>
              <w:spacing w:after="80"/>
            </w:pPr>
            <w:r>
              <w:rPr>
                <w:sz w:val="18"/>
              </w:rPr>
              <w:t>Полная модель, данные, код и воспроизведение расчётов</w:t>
            </w:r>
          </w:p>
        </w:tc>
      </w:tr>
      <w:tr>
        <w:trPr>
          <w:cantSplit/>
        </w:trPr>
        <w:tc>
          <w:tcPr>
            <w:tcW w:type="dxa" w:w="4939"/>
          </w:tcPr>
          <w:p>
            <w:pPr>
              <w:spacing w:after="80"/>
            </w:pPr>
            <w:r>
              <w:rPr>
                <w:sz w:val="18"/>
              </w:rPr>
              <w:t>Обозначение вымышленного сценария и ключевых условий</w:t>
            </w:r>
          </w:p>
        </w:tc>
        <w:tc>
          <w:tcPr>
            <w:tcW w:type="dxa" w:w="4939"/>
          </w:tcPr>
          <w:p>
            <w:pPr>
              <w:spacing w:after="80"/>
            </w:pPr>
            <w:r>
              <w:rPr>
                <w:sz w:val="18"/>
              </w:rPr>
              <w:t>Подробная карточка предпосылок, сигналов и альтернатив</w:t>
            </w:r>
          </w:p>
        </w:tc>
      </w:tr>
    </w:tbl>
    <w:p/>
    <w:p>
      <w:r>
        <w:t>Правило переноса: если изъятие детали делает вывод сильнее, универсальнее или достовернее, чем позволяют основания, деталь остаётся в основном тексте. Научная добросовестность не должна зависеть от того, открыл ли читатель сноску.</w:t>
      </w:r>
    </w:p>
    <w:p>
      <w:pPr>
        <w:pStyle w:val="Heading1"/>
      </w:pPr>
      <w:r>
        <w:t>5. Будущие сцены и авторский голос</w:t>
      </w:r>
    </w:p>
    <w:p>
      <w:r>
        <w:t>В начале самостоятельного эпизода явно сообщается, что это сценарий, и при необходимости указывается условный год. Внутри разрешены вымышленные диалоги, бытовые детали и атмосфера. Их задача — сделать последствия мысли ощутимыми. Они не переносятся в документальный кейс и не используются далее как эмпирическое доказательство.</w:t>
      </w:r>
    </w:p>
    <w:p>
      <w:r>
        <w:t>Карточка сцены сохраняет технологические и институциональные предпосылки, сегодняшние основания, неизвестное и альтернативный исход. Бренды и точные числа вводятся только когда выполняют содержательную работу.</w:t>
      </w:r>
    </w:p>
    <w:p>
      <w:r>
        <w:t>Для трёх авторов сохраняется согласованный голос книги. Личный опыт и разногласия атрибутируются. Общие приёмы футурологической прозы не дают права приписывать авторам или персонажам реальные воспоминания, которых в материалах нет.</w:t>
      </w:r>
    </w:p>
    <w:p>
      <w:pPr>
        <w:pStyle w:val="Heading1"/>
      </w:pPr>
      <w:r>
        <w:t>6. Самостоятельный образец направления</w:t>
      </w:r>
    </w:p>
    <w:p>
      <w:r>
        <w:t>Ниже оригинальный учебный фрагмент, иллюстрирующий общие требования STYLE-01. Это не текст или стилизация Евгения Кузнецова, не документальный эпизод и не утверждённая часть главы.</w:t>
      </w:r>
    </w:p>
    <w:p>
      <w:pPr>
        <w:ind w:left="317"/>
      </w:pPr>
      <w:r>
        <w:rPr>
          <w:i/>
        </w:rPr>
        <w:t>Представим инженерную компанию в 2038 году. Утром система останавливает выпуск новой детали. Поставщик изменил материал, и прежние испытания больше не дают достаточного основания для запуска. Автоматика заметила изменение вовремя. Теперь нужно решить, какая проверка позволит продолжить работу.</w:t>
      </w:r>
    </w:p>
    <w:p>
      <w:r>
        <w:t>&gt;</w:t>
      </w:r>
    </w:p>
    <w:p>
      <w:pPr>
        <w:ind w:left="317"/>
      </w:pPr>
      <w:r>
        <w:rPr>
          <w:i/>
        </w:rPr>
        <w:t>Молодой инженер открывает историю проекта. За последние годы ему почти не приходилось выбирать испытания: готовые программы приходили вместе с расчётами. Он умеет пользоваться системой. Сегодня ему впервые нужно оценить, достаточно ли того, что она предлагает.</w:t>
      </w:r>
    </w:p>
    <w:p>
      <w:r>
        <w:t>&gt;</w:t>
      </w:r>
    </w:p>
    <w:p>
      <w:pPr>
        <w:ind w:left="317"/>
      </w:pPr>
      <w:r>
        <w:rPr>
          <w:i/>
        </w:rPr>
        <w:t>Такая ситуация возможна, если компания поручила машине всё больше работы, а практику обучения оставила прежней. В другой компании тот же ИИ мог бы стать тренажёром: показывать редкие отказы, сталкивать ученика с неполными данными, помогать наставнику разбирать ошибку. Будущий уровень экспертизы зависит и от того, какое место мы оставим для её формирования.</w:t>
      </w:r>
    </w:p>
    <w:p>
      <w:pPr>
        <w:pStyle w:val="Heading1"/>
      </w:pPr>
      <w:r>
        <w:t>7. Ответственность и приёмка</w:t>
      </w:r>
    </w:p>
    <w:p>
      <w:r>
        <w:t>Главный редактор включает STYLE-01 в каждый пакет главы. Архитектор пути планирует открытия и чередование сложности. Автор пишет в заданном жанре с первого черновика. Редактор голоса обеспечивает связность и лёгкость; интегратор удерживает общий тон. Научный проверяющий повторно сверяет смысл после литературных изменений. Корректор сохраняет принятую живую интонацию.</w:t>
      </w:r>
    </w:p>
    <w:p>
      <w:r>
        <w:t>Для приёмки нужны ответы на пять вопросов:</w:t>
      </w:r>
    </w:p>
    <w:p>
      <w:pPr>
        <w:pStyle w:val="ListBullet"/>
      </w:pPr>
      <w:r>
        <w:t>Может ли читатель без специальной подготовки объяснить ведущий вопрос, механизм и существенное ограничение?</w:t>
      </w:r>
    </w:p>
    <w:p>
      <w:pPr>
        <w:pStyle w:val="ListBullet"/>
      </w:pPr>
      <w:r>
        <w:t>Может ли он вспомнить конкретную ситуацию или пример, который помог понять идею?</w:t>
      </w:r>
    </w:p>
    <w:p>
      <w:pPr>
        <w:pStyle w:val="ListBullet"/>
      </w:pPr>
      <w:r>
        <w:t>Ясно ли, что установлено, что предлагается авторами и что является будущим сценарием?</w:t>
      </w:r>
    </w:p>
    <w:p>
      <w:pPr>
        <w:pStyle w:val="ListBullet"/>
      </w:pPr>
      <w:r>
        <w:t>Можно ли проверить основания вывода через научный аппарат?</w:t>
      </w:r>
    </w:p>
    <w:p>
      <w:pPr>
        <w:pStyle w:val="ListBullet"/>
      </w:pPr>
      <w:r>
        <w:t>Сохранилось ли желание продолжать чтение; где и почему оно ослабло?</w:t>
      </w:r>
    </w:p>
    <w:p>
      <w:r>
        <w:t>Научная проверка и оценка чтения фиксируются отдельно. Если текст точен, но систематически теряет читателя, он возвращается на композиционную или литературную правку. Если текст увлекателен, но меняет силу утверждения, он возвращается на содержательную проверку. Агентное холодное чтение остаётся предварительной диагностикой; оценка реальных читателей фиксируется отдельно.</w:t>
      </w:r>
    </w:p>
    <w:p>
      <w:pPr>
        <w:pStyle w:val="Heading1"/>
      </w:pPr>
      <w:r>
        <w:t>8. Применение в проекте</w:t>
      </w:r>
    </w:p>
    <w:p>
      <w:r>
        <w:t>Правило включается в архитектуру редакции, общий контракт ролей, задания автора главы, редактора голоса и холодного читателя, а также в паспорт и приёмку пилота. Новая агентная роль для этого не требуется. При обновлении формулировок STYLE-01 меняется версия; принятые авторские требования сохраняются.</w:t>
      </w:r>
    </w:p>
    <w:p>
      <w:r>
        <w:t>Поиск выполнен по публичным источникам. Exa MCP в текущей сессии не предоставлен, поэтому использован предусмотренный навыком fallback. Видео без доступной расшифровки не использовались для выводов о речи. Источники в разделе 2 подтверждают наблюдения о форме подачи; научные и прогностические утверждения из них не перенесены в корпус доказательств монографии.</w:t>
      </w:r>
    </w:p>
    <w:sectPr w:rsidR="00FC693F" w:rsidRPr="0006063C" w:rsidSect="00034616">
      <w:footerReference w:type="default" r:id="rId9"/>
      <w:pgSz w:w="11952" w:h="16848"/>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17A"/>
        <w:sz w:val="16"/>
      </w:rPr>
      <w:t xml:space="preserve">Право на решение · Правило стиля STYLE-01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23846"/>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1238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300"/>
      <w:contextualSpacing/>
    </w:pPr>
    <w:rPr>
      <w:rFonts w:asciiTheme="majorHAnsi" w:eastAsiaTheme="majorEastAsia" w:hAnsiTheme="majorHAnsi" w:cstheme="majorBidi" w:ascii="Calibri" w:hAnsi="Calibri"/>
      <w:color w:val="1238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b.ru/stories/evgenij-kuznecov/" TargetMode="External"/><Relationship Id="rId11" Type="http://schemas.openxmlformats.org/officeDocument/2006/relationships/hyperlink" Target="https://rehab-portal.ru/evgeny-kuznetsov-interview" TargetMode="External"/><Relationship Id="rId12" Type="http://schemas.openxmlformats.org/officeDocument/2006/relationships/hyperlink" Target="https://news.itmo.ru/ru/news/5536/" TargetMode="External"/><Relationship Id="rId13" Type="http://schemas.openxmlformats.org/officeDocument/2006/relationships/hyperlink" Target="https://theoryandpractice.ru/posts/21039-budushchee-universitetov-i-rol-prepodavateley-v-nikh" TargetMode="External"/><Relationship Id="rId14" Type="http://schemas.openxmlformats.org/officeDocument/2006/relationships/hyperlink" Target="https://www.gazetametro.ru/articles/iskusstvennyj-intellekt-nastupaet-kak-ne-ostatsja-bez-raboty-05-07-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 правило стиля STYLE-01</dc:title>
  <dc:subject>Лёгкая футурологическая проза с научной глубиной</dc:subject>
  <dc:creator>Редакционная записка для авторов монографии</dc:creator>
  <cp:keywords/>
  <dc:description>generated by python-docx</dc:description>
  <cp:lastModifiedBy/>
  <cp:revision>1</cp:revision>
  <dcterms:created xsi:type="dcterms:W3CDTF">2013-12-23T23:15:00Z</dcterms:created>
  <dcterms:modified xsi:type="dcterms:W3CDTF">2013-12-23T23:15:00Z</dcterms:modified>
  <cp:category/>
</cp:coreProperties>
</file>