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2. Обеспечены, но отстранены</w:t>
      </w:r>
    </w:p>
    <w:p>
      <w:pPr>
        <w:pStyle w:val="Subtitle"/>
      </w:pPr>
      <w:r>
        <w:rPr/>
        <w:t xml:space="preserve">Право на решение · версия 9.0</w:t>
      </w:r>
    </w:p>
    <w:p>
      <w:pPr>
        <w:pStyle w:val="Normal"/>
      </w:pPr>
      <w:r>
        <w:rPr/>
        <w:t xml:space="preserve">Можно безупречно выполнить просьбу о результате и оставить без ответа просьбу об участии. Всё нужное доставлено, качество превосходно, цена посильна. Отказа в услуге не произошло. Но человек обращался за возможностью сделать нечто самому.</w:t>
      </w:r>
    </w:p>
    <w:p>
      <w:pPr>
        <w:pStyle w:val="Normal"/>
      </w:pPr>
      <w:r>
        <w:rPr/>
        <w:t xml:space="preserve">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pStyle w:val="Normal"/>
      </w:pPr>
      <w:r>
        <w:rPr/>
        <w:t xml:space="preserve">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pStyle w:val="Normal"/>
      </w:pPr>
      <w:r>
        <w:rPr/>
        <w:t xml:space="preserve">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одинаковый запас сверх текущих обязательств. Его владельцы уже согласились направить часть средств на общую инфраструктуру; сравним два способа распорядиться этой частью. Нужда не принуждает людей к участию в исследовании. Первое общество нельзя отвергнуть готовым обвинением в жестокости.</w:t>
      </w:r>
    </w:p>
    <w:p>
      <w:pPr>
        <w:pStyle w:val="Normal"/>
      </w:pPr>
      <w:r>
        <w:rPr/>
        <w:t xml:space="preserve">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pStyle w:val="Normal"/>
      </w:pPr>
      <w:r>
        <w:rPr/>
        <w:t xml:space="preserve">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pStyle w:val="Normal"/>
      </w:pPr>
      <w:r>
        <w:rPr/>
        <w:t xml:space="preserve">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pStyle w:val="Normal"/>
      </w:pPr>
      <w:r>
        <w:rPr/>
        <w:t xml:space="preserve">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pStyle w:val="Normal"/>
      </w:pPr>
      <w:r>
        <w:rPr/>
        <w:t xml:space="preserve">Филип Петтит предлагает различать благожелательность чужой власти и её подконтрольность тем, на кого она действует.</w:t>
      </w:r>
      <w:hyperlink w:anchor="Note1" w:history="1">
        <w:r>
          <w:rPr>
            <w:rStyle w:val="Hyperlink"/>
          </w:rPr>
          <w:t xml:space="preserve">[1]</w:t>
        </w:r>
      </w:hyperlink>
      <w:r>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pStyle w:val="Normal"/>
      </w:pPr>
      <w:r>
        <w:rPr/>
        <w:t xml:space="preserve">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pStyle w:val="Normal"/>
      </w:pPr>
      <w:r>
        <w:rPr/>
        <w:t xml:space="preserve">Один собственник вправе отказать в предоставлении своей установки, если не принял иного обязательства. Другой вопрос — можно ли после такого отказа купить услугу у другого, собрать свой капитал, построить меньшую установку или предложить иную технологию. Для устройства общества различие проходит между отказом конкретного владельца и исчезновением всех способов начать.</w:t>
      </w:r>
    </w:p>
    <w:p>
      <w:pPr>
        <w:pStyle w:val="Normal"/>
      </w:pPr>
      <w:r>
        <w:rPr/>
        <w:t xml:space="preserve">Поэтому за словом «центр» нужно увидеть разные полномочия. Владелец решает, предоставлять ли собственный актив. Распорядитель общего вклада исполняет поручение тех, кто его выделил. Держатель исключительного разрешения определяет, смогут ли другие вообще соединить свои средства. Эти положения могут совпасть в одной организации, но основания пересмотра у них разные. Обжалование отказа по согласованным правилам фонда не даёт права распоряжаться частной установкой за его пределами. Покупка другой установки мало поможет, если её использование всё равно требует того же необжалуемого разрешения.</w:t>
      </w:r>
    </w:p>
    <w:p>
      <w:pPr>
        <w:pStyle w:val="Normal"/>
      </w:pPr>
      <w:r>
        <w:rPr/>
        <w:t xml:space="preserve">Во втором обществе участники заранее ограничили полномочия распорядителя общего вклада и обеспечили независимое рассмотрение спора о его условиях. Они могут проиграть такой спор: проект не укладывается в принятый бюджет или не отвечает требованиям безопасной пробы. Возможность оспорить решение не обещает денег на любой замысел. Она сохраняет различие между исполнением общего условия и личным последним словом того, кто сегодня распределяет средства.</w:t>
      </w:r>
    </w:p>
    <w:p>
      <w:pPr>
        <w:pStyle w:val="Normal"/>
      </w:pPr>
      <w:r>
        <w:rPr/>
        <w:t xml:space="preserve">Две площадки могут пользоваться одной энергетической сетью и оставаться разными путями, если оговорённая услуга обеспечена и один распорядитель не может по своему усмотрению закрыть их обе. Общая инфраструктура тогда может удешевить самостоятельность. Но если все договоры действуют лишь до следующего безусловного отказа прежнего центра, новое название площадки мало что изменило. Проверять нужно конкретное ограничение, к которому возвращаются оба маршрута.</w:t>
      </w:r>
    </w:p>
    <w:p>
      <w:pPr>
        <w:pStyle w:val="Normal"/>
      </w:pPr>
      <w:r>
        <w:rPr/>
        <w:t xml:space="preserve">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w:t>
      </w:r>
    </w:p>
    <w:p>
      <w:pPr>
        <w:pStyle w:val="Normal"/>
      </w:pPr>
      <w:r>
        <w:rPr/>
        <w:t xml:space="preserve">Он может сам предпочесть такое распределение работы. Ему не нужно каждое утро выбирать технологию или читать все исследовательские заявки. Он доверяет управление тем, кто делает это лучше, и посвящает жизнь другому. Существенно, какие возможности остались у него по принятому соглашению: сменить представителя, пересмотреть поручение, после исполнения обязательств направить доступные собственные средства в другое дело. Делегированное управление может быть формой влияния, которой редко пользуются непосредственно. Если же поменять нельзя ни поручение, ни распорядителя, ни путь применения своего ресурса, одна выплата не решает вопроса о зависимости.</w:t>
      </w:r>
    </w:p>
    <w:p>
      <w:pPr>
        <w:pStyle w:val="Normal"/>
      </w:pPr>
      <w:r>
        <w:rPr/>
        <w:t xml:space="preserve">Поэтому разговор о распределении придётся вести по меньшей мере о трёх вещах — доступных благах, доходах от производства и влиянии на его продолжение. Изменение одной из них способно оставить две другие почти прежними.</w:t>
      </w:r>
    </w:p>
    <w:p>
      <w:pPr>
        <w:pStyle w:val="Normal"/>
      </w:pPr>
      <w:r>
        <w:rPr/>
        <w:t xml:space="preserve">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pStyle w:val="Normal"/>
      </w:pPr>
      <w:r>
        <w:rPr/>
        <w:t xml:space="preserve">В воспоминаниях Тимошенко есть переход, который помогает увидеть это движение. В 1927 году он получил приглашение на уже учреждённую исследовательскую кафедру Мичиганского университета. У Вестингауза ему предлагали остаться на улучшенных условиях. Он выбрал университет; затем, ещё до переезда, договорился с компанией приезжать раз в месяц на два дня для консультаций.</w:t>
      </w:r>
      <w:hyperlink w:anchor="Note2" w:history="1">
        <w:r>
          <w:rPr>
            <w:rStyle w:val="Hyperlink"/>
          </w:rPr>
          <w:t xml:space="preserve">[2]</w:t>
        </w:r>
      </w:hyperlink>
      <w:r>
        <w:rPr/>
        <w:t xml:space="preserve"> Связь с прежней организацией сохранилась, но занимала теперь оговорённую часть работы человека, получившего другое основное назначение.</w:t>
      </w:r>
    </w:p>
    <w:p>
      <w:pPr>
        <w:pStyle w:val="Normal"/>
      </w:pPr>
      <w:r>
        <w:rPr/>
        <w:t xml:space="preserve">Для такого перехода понадобились и новая кафедра, и согласие на конкретную форму сотрудничества. Известный инженер располагал возможностями, которых у начинающего могло не быть. Важен сам характер изменения: продолжение собственного пути позволило сохранить полезную связь в иных границах. Требование порвать со всеми прежними партнёрами сделало бы самостоятельность дороже и беднее.</w:t>
      </w:r>
    </w:p>
    <w:p>
      <w:pPr>
        <w:pStyle w:val="Normal"/>
      </w:pPr>
      <w:r>
        <w:rPr/>
        <w:t xml:space="preserve">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pStyle w:val="Normal"/>
      </w:pPr>
      <w:r>
        <w:rPr/>
        <w:t xml:space="preserve">При этом единая цепь может иметь серьёзное преимущество: проще согласовать качество, график приёма и ответственность за несовместимость. Поддержание второго полного маршрута способно поглотить средства, которых хватило бы на надёжную первую поставку. Поэтому другой путь не следует автоматически понимать как второй экземпляр всей промышленности. Иногда достаточно отдельно обеспеченных измерений и испытательной услуги, иногда нужен иной узел приёма. Если последняя граница по-прежнему закрывается одним необжалуемым решением, дублирование нескольких промежуточных звеньев не устранило зависимость.</w:t>
      </w:r>
    </w:p>
    <w:p>
      <w:pPr>
        <w:pStyle w:val="Normal"/>
      </w:pPr>
      <w:r>
        <w:rPr/>
        <w:t xml:space="preserve">Допустим, из той же согласованной части средств оплачена ограниченная проба другого способа работы. По её результату группа предпочла прежний вариант. Перехода к другому оператору не произошло, но появились основания остаться, полученные через собственное доступное действие. Отсюда ещё не следует, что надо оплачивать каждую такую проверку. Видно другое: число ушедших само по себе плохо описывает работу альтернативы. Она может влиять на качество согласия, не становясь новым основным производством.</w:t>
      </w:r>
    </w:p>
    <w:p>
      <w:pPr>
        <w:pStyle w:val="Normal"/>
      </w:pPr>
      <w:r>
        <w:rPr/>
        <w:t xml:space="preserve">Выбор имеет материальную цену. Во втором обществе часть согласованного вклада поддерживает альтернативу, которая сегодня может не дать лучшего продукта. На те же средства можно ускорить поставку или увеличить выплаты владельцам. Одни участники ценят возможность будущего входа, другие — сегодняшний доход. Договорённость между ними определяет, что будет построено: ещё одна мощная линия основного производства или узел, на котором смогут проверить разные замыслы.</w:t>
      </w:r>
    </w:p>
    <w:p>
      <w:pPr>
        <w:pStyle w:val="Normal"/>
      </w:pPr>
      <w:r>
        <w:rPr/>
        <w:t xml:space="preserve">Даже неиспользованная возможность требует содержания. Пока основная услуга хороша, средства уходят на то, что почти не даёт видимого нового выпуска. Для предпочитающего нынешний доход это достаточный повод возражать против следующего взноса. Для другого участника возможность позже проверить собственный путь сама входит в желаемый результат. Их разногласие не исчезнет от роста технического качества. Прежде чем обещать будущим людям открытый вход, придётся понять, на каких основаниях такая договорённость будет возобновляться.</w:t>
      </w:r>
    </w:p>
    <w:p>
      <w:pPr>
        <w:pStyle w:val="Normal"/>
      </w:pPr>
      <w:r>
        <w:rPr/>
        <w:t xml:space="preserve">Допустим, через несколько лет качество основной услуги упало. Центр может исправить недостаток и восстановить доверие, не передавая никому инициативу. Благополучное делегирование способно поддерживать себя: услуги хороши, спрос на другие пути невелик, содержать их считают лишним. Такой порядок не обязан разрушиться от первого возражения. Чтобы предпочесть другой, недостаточно предсказать его противнику катастрофу.</w:t>
      </w:r>
    </w:p>
    <w:p>
      <w:pPr>
        <w:pStyle w:val="Normal"/>
      </w:pPr>
      <w:r>
        <w:rPr/>
        <w:t xml:space="preserve">Человек вправе не пользоваться другим путём.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pStyle w:val="Normal"/>
      </w:pPr>
      <w:r>
        <w:rPr/>
        <w:t xml:space="preserve">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pStyle w:val="Normal"/>
      </w:pPr>
      <w:r>
        <w:rPr/>
        <w:t xml:space="preserve">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t xml:space="preserve">Источники и примечания</w:t>
      </w:r>
    </w:p>
    <w:p>
      <w:pPr>
        <w:pStyle w:val="Note"/>
      </w:pPr>
      <w:bookmarkStart w:id="1" w:name="Note1"/>
      <w:r>
        <w:rPr/>
        <w:t xml:space="preserve">1. </w:t>
      </w:r>
      <w:r>
        <w:rPr/>
        <w:t xml:space="preserve">Philip Pettit. </w:t>
      </w:r>
      <w:hyperlink w:history="1" r:id="link1">
        <w:r>
          <w:rPr>
            <w:i/>
            <w:rStyle w:val="Hyperlink"/>
          </w:rPr>
          <w:t xml:space="preserve">The Determinacy of Republican Policy: A Reply to McMahon</w:t>
        </w:r>
      </w:hyperlink>
      <w:r>
        <w:rPr/>
        <w:t xml:space="preserve">, </w:t>
      </w:r>
      <w:r>
        <w:rPr>
          <w:i/>
        </w:rPr>
        <w:t xml:space="preserve">Philosophy &amp; Public Affairs</w:t>
      </w:r>
      <w:r>
        <w:rPr/>
        <w:t xml:space="preserve"> 34(3), 2006, с. 275–283; с. 276, примечание 4, и раздел II, с. 278–279. Эти фрагменты и с. 282, пункты 9–12, прочитаны 6 сентября 2026 года. Петтит различает ограничение произвола и благосклонность власти; способы публичного вмешательства он отдельно связывает с действенностью и общими признаваемыми интересами. Сравнение обществ с сильным ИИ, согласованного фонда и космических услуг — наше условное рассуждение, не описанное автором устройство.</w:t>
      </w:r>
      <w:bookmarkEnd w:id="1"/>
    </w:p>
    <w:p>
      <w:pPr>
        <w:pStyle w:val="Note"/>
      </w:pPr>
      <w:bookmarkStart w:id="2" w:name="Note2"/>
      <w:r>
        <w:rPr/>
        <w:t xml:space="preserve">2. </w:t>
      </w:r>
      <w:r>
        <w:rPr/>
        <w:t xml:space="preserve">С. П. Тимошенко. </w:t>
      </w:r>
      <w:r>
        <w:rPr>
          <w:i/>
        </w:rPr>
        <w:t xml:space="preserve">Воспоминания</w:t>
      </w:r>
      <w:r>
        <w:rPr/>
        <w:t xml:space="preserve">. Киев: Наукова думка, 1993. Раздел «Мичиганский университет», от приглашения на кафедру до переезда в Анн-Арбор в конце сентября 1927 года; пять начальных абзацев раздела, прочитанные с ближайшим контекстом и сверенные с электронным изданием FB2 6 сентября 2026 года. Это свидетельство участника; договоры и обстоятельства переговоров отдельно не восстановлены. В том же контексте Тимошенко критически оценивает университетское управление, поэтому новый путь не изображается отсутствием всяких ограничений. Размер оплаты консультаций и право любого работника сохранить прежний доход из фрагмента не выводятся.</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pettit.scholar.princeton.edu/document/1676" TargetMode="External" /></Relationships>
</file>