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7. Три результата одной системы</w:t>
      </w:r>
    </w:p>
    <w:p>
      <w:pPr>
        <w:pStyle w:val="Subtitle"/>
      </w:pPr>
      <w:r>
        <w:rPr/>
        <w:t xml:space="preserve">Право на решение · версия 9.0</w:t>
      </w:r>
    </w:p>
    <w:p>
      <w:pPr>
        <w:pStyle w:val="Normal"/>
      </w:pPr>
      <w:r>
        <w:rPr/>
        <w:t xml:space="preserve">В таблице измерений пустая ячейка может означать две разные вещи. Значение потеряли при переносе файла. Или прибор не выдал его, потому что измерение оказалось за пределами доступного диапазона. Программа способна найти обе пустоты. Одинаково заполнить их — значит уничтожить различие, ради которого измерения проводились.</w:t>
      </w:r>
    </w:p>
    <w:p>
      <w:pPr>
        <w:pStyle w:val="Normal"/>
      </w:pPr>
      <w:r>
        <w:rPr/>
        <w:t xml:space="preserve">Возьмём такую работу для нашего первого земного примера. Условной лаборатории нужен инструмент, который проверяет комплектность, единицы и согласованность файлов перед подготовкой отчёта. Он сообщает о пропусках, сохраняет исходные данные и объясняет каждое замечание. Окончательное профессиональное заключение остаётся за лабораторией; учебная версия не управляет прибором. Здесь можно получить полезный результат, не превращая чужую безопасность в плату за обучение.</w:t>
      </w:r>
    </w:p>
    <w:p>
      <w:pPr>
        <w:pStyle w:val="Normal"/>
      </w:pPr>
      <w:r>
        <w:rPr/>
        <w:t xml:space="preserve">Дадим команде из шести человек шесть недель, по двадцать часов в неделю, сильный ИИ и 1,2 миллиона рублей на весь цикл. Это проектные числа: в шестнадцатой главе мы сведём их в полный расчёт. Сейчас существенно, что из одной суммы оплачиваются время участников, данные, вычисления, помощь и независимая проверка. У названия «инженерная школа» нет собственного источника денег.</w:t>
      </w:r>
    </w:p>
    <w:p>
      <w:pPr>
        <w:pStyle w:val="Normal"/>
      </w:pPr>
      <w:r>
        <w:rPr/>
        <w:t xml:space="preserve">С техническим продуктом всё может получиться быстро. ИИ построит проверки, найдёт неоднозначности и подготовит удобное объяснение. Лаборатория получит инструмент. Но в конце шестой недели мы можем обнаружить, что существенный выбор по-прежнему делает только система. Люди успешно помогали выпуску, не приобретя способности самостоятельно определить, какую следующую проверку следует оплатить.</w:t>
      </w:r>
    </w:p>
    <w:p>
      <w:pPr>
        <w:pStyle w:val="Normal"/>
      </w:pPr>
      <w:r>
        <w:rPr/>
        <w:t xml:space="preserve">Попробуем изменить организацию той же работы.</w:t>
      </w:r>
    </w:p>
    <w:p>
      <w:pPr>
        <w:pStyle w:val="Normal"/>
      </w:pPr>
      <w:r>
        <w:rPr/>
        <w:t xml:space="preserve">Одной команде оставим свободу распорядиться помощью и временем. У неё есть доступ к данным, право выбирать метод, оплаченные часы и возможность продолжить. Участники могут попросить ИИ подобрать теорию, нанять эксперта, разделить задачи, учиться друг у друга. Никакой специальной последовательности им не предписано. Это сильная альтернатива нашей школе: она уже получила средства, которых человеку часто не хватает.</w:t>
      </w:r>
    </w:p>
    <w:p>
      <w:pPr>
        <w:pStyle w:val="Normal"/>
      </w:pPr>
      <w:r>
        <w:rPr/>
        <w:t xml:space="preserve">Другой команде предложим дополнительное обязательство организатора. Он должен заметить место, где участник способен исполнить указание, но пока не может выбрать основание действия; помочь пройти этот разрыв; затем передать следующий выбор самому участнику. У обеих команд одинаковы исходный опыт, инструменты, бюджет и права. В реальной пробе эту сопоставимость придётся проверять — она не возникает из одинакового числа мест.</w:t>
      </w:r>
    </w:p>
    <w:p>
      <w:pPr>
        <w:pStyle w:val="Normal"/>
      </w:pPr>
      <w:r>
        <w:rPr/>
        <w:t xml:space="preserve">Различие пустых ячеек даёт организатору конкретную работу. Можно объяснить участнику два вида пропуска и получить правильный пересказ. Можно попросить его исправить двадцать файлов по готовому правилу. В обоих случаях правило уже выбрал кто-то другой.</w:t>
      </w:r>
    </w:p>
    <w:p>
      <w:pPr>
        <w:pStyle w:val="Normal"/>
      </w:pPr>
      <w:r>
        <w:rPr/>
        <w:t xml:space="preserve">Более содержательная задача — решить, какие сведения нужны, чтобы вообще применять правило. Достаточно ли самого файла? Нужны ли журнал прибора и описание диапазона? Какая проверка отличит потерю записи от невозможности измерения? Пока эти вопросы не получили основания, полезным результатом может быть запрет автоматического заполнения. Инструмент станет делать меньше, зато перестанет выдавать придуманную определённость.</w:t>
      </w:r>
    </w:p>
    <w:p>
      <w:pPr>
        <w:pStyle w:val="Normal"/>
      </w:pPr>
      <w:r>
        <w:rPr/>
        <w:t xml:space="preserve">Шён разбирал затруднение, при котором учащийся превращает ограниченный показ в общее правило. Он может воспроизводить принципы и действовать несогласованно с ними, не замечая расхождения. Это не делает следование показу порочным: в том же рассуждении Шён сохраняет возможность осмысленного подражания.</w:t>
      </w:r>
      <w:hyperlink w:anchor="Note1" w:history="1">
        <w:r>
          <w:rPr>
            <w:rStyle w:val="Hyperlink"/>
          </w:rPr>
          <w:t xml:space="preserve">[1]</w:t>
        </w:r>
      </w:hyperlink>
      <w:r>
        <w:rPr/>
        <w:t xml:space="preserve"> Для организатора различие существенно. Готовое предложение, с которым человек согласился, ещё не показывает ни освоения, ни его отсутствия.</w:t>
      </w:r>
    </w:p>
    <w:p>
      <w:pPr>
        <w:pStyle w:val="Normal"/>
      </w:pPr>
      <w:r>
        <w:rPr/>
        <w:t xml:space="preserve">Научить участника всегда запрашивать журнал прибора тоже недостаточно. Нужно понять, что в нём искать. Журнал может содержать достоверное значение, потерянное при переносе. Тогда появляется основание восстановить запись в производной копии, сохранив её происхождение. Но запись журнала может сообщать о выходе за диапазон, а надёжного значения не содержать. В таком случае источник пропуска выяснен, однако пустота не превратилась в известное число.</w:t>
      </w:r>
    </w:p>
    <w:p>
      <w:pPr>
        <w:pStyle w:val="Normal"/>
      </w:pPr>
      <w:r>
        <w:rPr/>
        <w:t xml:space="preserve">В учебном разборе можно сопоставить два внешне одинаковых файла с разной историей появления пропуска. Если участник предлагает восстановить значения в обоих, организатор получает предмет для помощи: связь между найденной записью и тем, о чём она свидетельствует. Повторить определение двух пропусков мало. Нужно разобрать, какое утверждение о состоявшемся измерении позволяет сделать первичный источник и какое действие из этого следует. Одному участнику будет достаточно такого сопоставления; другому может понадобиться вернуться к устройству измерения. Сам ИИ способен предложить и примеры, и весь правильный ход.</w:t>
      </w:r>
    </w:p>
    <w:p>
      <w:pPr>
        <w:pStyle w:val="Normal"/>
      </w:pPr>
      <w:r>
        <w:rPr/>
        <w:t xml:space="preserve">Образовательная работа начинается не с требования изобрести его раньше машины. Она помогает участнику связать выбор с тем, что выбор позволяет узнать. Теория измерения, работа с пропусками и устройство данных нужны здесь постольку, поскольку меняют эту связь. Если участник пока не понимает её, в его времени защищается место для разбора и собственной пробы. Если уже понимает, повторять занятия незачем. При подготовке сравнения нужно проверить и другую причину затруднения: основание человеку понятно, но ему не разрешено самому заказать проверку или применить её вывод. Такие полномочия в пределах выбранной задачи нужно согласовать для обеих команд. Разницу в доступном праве на действие нельзя записать в результат обучения.</w:t>
      </w:r>
    </w:p>
    <w:p>
      <w:pPr>
        <w:pStyle w:val="Normal"/>
      </w:pPr>
      <w:r>
        <w:rPr/>
        <w:t xml:space="preserve">В нашей модели на такие переходы можно защитить до двадцати четырёх часов из ста двадцати. Это в среднем до четырёх часов в неделю, а не обязательное одинаковое занятие каждую неделю. Они не прибавлены к программе сверху: использованное на разбор время уже нельзя направить на новые функции. На шестерых это до ста сорока четырёх часов, которые можно было направить на ускорение выпуска. Заказчик вправе предпочесть более богатый инструмент. У него есть основание возражать нашей конструкции.</w:t>
      </w:r>
    </w:p>
    <w:p>
      <w:pPr>
        <w:pStyle w:val="Normal"/>
      </w:pPr>
      <w:r>
        <w:rPr/>
        <w:t xml:space="preserve">Но защищённую возможность не следует превращать в выработку занятий. Если переход состоялся быстрее, организатору незачем занимать оставшиеся часы, чтобы подтвердить собственную полезность. Число проведённых разборов может расти и при помощи, которая всё время обходит одно затруднение. А точное короткое вмешательство способно сделать очередной разбор ненужным. Мы оплачиваем возможность освоения, не требуя непременно истратить весь её предел. Работа самого организатора тоже входит в общий бюджет; свободная команда может потратить соответствующие средства на выбранную ею помощь.</w:t>
      </w:r>
    </w:p>
    <w:p>
      <w:pPr>
        <w:pStyle w:val="Normal"/>
      </w:pPr>
      <w:r>
        <w:rPr/>
        <w:t xml:space="preserve">Чтобы заплатить эту цену, нужно знать, что приобретается взамен. На следующем шаге участник получает ограниченное, но настоящее решение: выбрать проверку для одного типа неоднозначных данных, распорядиться выделенной на неё частью ресурса и по результату определить судьбу правила предварительной обработки. В пределах согласованной задачи его выбор влияет на продукт: правило можно изменить, сохранить или отказаться от ненужного дополнения. Он может принять предложение ИИ или отклонить его; важна пригодность основания, а не частота споров с помощником. Согласованное решение имеет последствия даже тогда, когда после него программа остаётся прежней.</w:t>
      </w:r>
    </w:p>
    <w:p>
      <w:pPr>
        <w:pStyle w:val="Normal"/>
      </w:pPr>
      <w:r>
        <w:rPr/>
        <w:t xml:space="preserve">Последующая передача выявляет ещё один вид разрыва. Другой человек из команды должен суметь запустить проверку, понять, при каких условиях она работает, и продолжить её изменение. Он вправе пользоваться сильным ИИ и обращаться к специалистам. Самостоятельность не требует, чтобы вся квалификация оказалась в одной голове. Но если нужный доступ или существенный шаг доступны только через прежнего наставника, его уход может остановить работу, даже когда инструкция читается легко.</w:t>
      </w:r>
    </w:p>
    <w:p>
      <w:pPr>
        <w:pStyle w:val="Normal"/>
      </w:pPr>
      <w:r>
        <w:rPr/>
        <w:t xml:space="preserve">Проверка передачи должна добраться до этой зависимости. Есть ли у команды согласованный доступ к исходным материалам? Понятно ли, кто вправе пересмотреть правило и как получить заключение лаборатории? Можно ли заказать нужную помощь после смены руководителя? Иногда исправлять нужно именно такой разрыв, а не добавлять лекцию. Сохранённая услуга специалиста может поддерживать самостоятельное продолжение. Если же нужная личная договорённость исчезает вместе с прежним наставником, способ её заменить ещё предстоит найти.</w:t>
      </w:r>
    </w:p>
    <w:p>
      <w:pPr>
        <w:pStyle w:val="Normal"/>
      </w:pPr>
      <w:r>
        <w:rPr/>
        <w:t xml:space="preserve">Олег Антонов, рассказывая о неоднократном создании и перемещении конструкторских коллективов, отделял получение зданий, станков и оборудования от налаживания совместной работы. Сбор людей, размещение и организация снова отнимали силы, необходимые для самого конструирования.</w:t>
      </w:r>
      <w:hyperlink w:anchor="Note2" w:history="1">
        <w:r>
          <w:rPr>
            <w:rStyle w:val="Hyperlink"/>
          </w:rPr>
          <w:t xml:space="preserve">[2]</w:t>
        </w:r>
      </w:hyperlink>
      <w:r>
        <w:rPr/>
        <w:t xml:space="preserve"> Его свидетельство не доказывает, что любой коллектив обязан держаться на одном главном конструкторе. Оно позволяет заметить работу, которую легко потерять в перечне уже имеющихся ресурсов.</w:t>
      </w:r>
    </w:p>
    <w:p>
      <w:pPr>
        <w:pStyle w:val="Normal"/>
      </w:pPr>
      <w:r>
        <w:rPr/>
        <w:t xml:space="preserve">В нашей лабораторной задаче к этой работе относятся согласование решений, доступов и помощи. Сильный ИИ способен облегчить её, подготовить материалы передачи и обнаружить скрытые зависимости. Но готовый комплект материалов ещё не показывает, что команда сможет им воспользоваться в своих полномочиях. Третий результат появляется там, где способ продолжения действительно доступен, включая нужную поддержку.</w:t>
      </w:r>
    </w:p>
    <w:p>
      <w:pPr>
        <w:pStyle w:val="Normal"/>
      </w:pPr>
      <w:r>
        <w:rPr/>
        <w:t xml:space="preserve">Так различаются три результата одной деятельности. Первый остаётся у лаборатории: пригодный инструмент. Второй — у людей: способность выбирать и проверять основания в следующей задаче. Третий относится к устройству совместной работы: её можно продолжить и изменить после передачи руководства. Возможен любой разрыв между ними. Программа может учить на технической неудаче; это не даст лаборатории нужного инструмента. Продукт может работать, пока продолжение держится на одном человеке.</w:t>
      </w:r>
    </w:p>
    <w:p>
      <w:pPr>
        <w:pStyle w:val="Normal"/>
      </w:pPr>
      <w:r>
        <w:rPr/>
        <w:t xml:space="preserve">Свободная команда способна пройти тот же путь. ИИ предложит ей различить пропуски, участники сами защитят время понимания, а общий бюджет позволит оплатить проверку. Она вправе пригласить и того же наставника, если сочтёт его помощь полезной. Тогда название особой школы ещё ничего не объясняет в полученном результате. Назвать этот исход её успехом значило бы присвоить альтернативу определением.</w:t>
      </w:r>
    </w:p>
    <w:p>
      <w:pPr>
        <w:pStyle w:val="Normal"/>
      </w:pPr>
      <w:r>
        <w:rPr/>
        <w:t xml:space="preserve">Здесь возможны два разных открытия. Свободная команда могла обойтись без предложенного нами приёма — или самостоятельно выбрать его и воспользоваться им. Во втором случае исчезает основание считать специальное предписание необходимым, но полезность самой помощи ещё не опровергнута. Поэтому нам мало сравнить два названия и два готовых инструмента. Нужно видеть, какую работу команды действительно организовали на одинаковые средства. Образовательный приём не становится собственностью учреждения оттого, что оно включило его в программу.</w:t>
      </w:r>
    </w:p>
    <w:p>
      <w:pPr>
        <w:pStyle w:val="Normal"/>
      </w:pPr>
      <w:r>
        <w:rPr/>
        <w:t xml:space="preserve">Поэтому образовательный механизм имеет узкий предмет: помогать преодолевать обнаруженный разрыв между исполнением и обоснованным выбором следующего действия. Деньги, права и доступ делают такой выбор возможным; они не становятся методом обучения от включения в наш проект. Собственное преимущество метода должно обнаружиться при тех же средствах.</w:t>
      </w:r>
    </w:p>
    <w:p>
      <w:pPr>
        <w:pStyle w:val="Normal"/>
      </w:pPr>
      <w:r>
        <w:rPr/>
        <w:t xml:space="preserve">Для уже подготовленного коллектива дополнительная организация может оказаться лишней. Для других людей её польза может состоять в том, что разрыв заметили раньше, чем они привыкли обходить его готовым ответом. Какой из этих случаев перед нами, не решается устройством расписания.</w:t>
      </w:r>
    </w:p>
    <w:p>
      <w:pPr>
        <w:pStyle w:val="Normal"/>
      </w:pPr>
      <w:r>
        <w:rPr/>
        <w:t xml:space="preserve">Файл прошёл проверку. Теперь изменим то, что по этому файлу собираются узнать.</w:t>
      </w:r>
    </w:p>
    <w:p>
      <w:pPr>
        <w:pStyle w:val="Heading1"/>
      </w:pPr>
      <w:r>
        <w:rPr/>
        <w:t xml:space="preserve">Источники и примечания</w:t>
      </w:r>
    </w:p>
    <w:p>
      <w:pPr>
        <w:pStyle w:val="Note"/>
      </w:pPr>
      <w:bookmarkStart w:id="1" w:name="Note1"/>
      <w:r>
        <w:rPr/>
        <w:t xml:space="preserve">1. </w:t>
      </w:r>
      <w:r>
        <w:rPr/>
        <w:t xml:space="preserve">Donald A. Schön. </w:t>
      </w:r>
      <w:hyperlink w:history="1" r:id="link1">
        <w:r>
          <w:rPr>
            <w:i/>
            <w:rStyle w:val="Hyperlink"/>
          </w:rPr>
          <w:t xml:space="preserve">Educating the Reflective Practitioner</w:t>
        </w:r>
      </w:hyperlink>
      <w:r>
        <w:rPr/>
        <w:t xml:space="preserve">, 1987, доступный университетский отрывок, печатные с. 154–156, заключение главы «How the Teaching and Learning Processes Can Go Wrong». Изображения страниц прочитаны 6 сентября 2026 года. На с. 155 сопоставлены неуместное обобщение показа, воспроизведение принципов при несогласованном действии и успешное осмысленное подражание. Это авторский анализ обучения проектированию, а не проверенный тест понимания по ответу ученика. Ситуации с лабораторными файлами и ИИ — наш перенос; полная книга не прочитана этим обращением к отрывку.</w:t>
      </w:r>
      <w:bookmarkEnd w:id="1"/>
    </w:p>
    <w:p>
      <w:pPr>
        <w:pStyle w:val="Note"/>
      </w:pPr>
      <w:bookmarkStart w:id="2" w:name="Note2"/>
      <w:r>
        <w:rPr/>
        <w:t xml:space="preserve">2. </w:t>
      </w:r>
      <w:r>
        <w:rPr/>
        <w:t xml:space="preserve">О. К. Антонов. </w:t>
      </w:r>
      <w:r>
        <w:rPr>
          <w:i/>
        </w:rPr>
        <w:t xml:space="preserve">Десять раз сначала</w:t>
      </w:r>
      <w:r>
        <w:rPr/>
        <w:t xml:space="preserve">, одноимённый очерк, заключительная часть о повторном создании конструкторских коллективов; в предоставленном PDF с. 56–57, прочитанные 6 сентября 2026 года. Это свидетельство участника об организационной работе, не сравнительный опыт и не подтверждение продолжения его КБ после ухода руководителя. Нормативные политические обобщения и тезис обязательного личного решения главного конструктора в аргумент книги не переносятся.</w:t>
      </w:r>
      <w:bookmarkEnd w:id="2"/>
    </w:p>
    <w:p>
      <w:pPr>
        <w:pStyle w:val="Note"/>
      </w:pPr>
      <w:r>
        <w:rPr/>
        <w:t xml:space="preserve">Лабораторная работа, две команды, часы и суммы — условия земной модели, не отчёт о проведённом исследовании. Один бюджет в 1,2 миллиона рублей относится к одному циклу одной команды; защищённое время входит в оплаченные часы. Передача в этой главе происходит внутри выбранной команды и не обещает финансирования нового набора. Полный расчёт и пределы проверки раскрываются в главе 16.</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eb.eecs.umich.edu/~mjguz/csl/home.cc.gatech.edu/allison/uploads/4/schon1987c.pdf" TargetMode="External" /></Relationships>
</file>