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11. Кто оплачивает право пробовать</w:t>
      </w:r>
    </w:p>
    <w:p>
      <w:pPr>
        <w:pStyle w:val="Subtitle"/>
      </w:pPr>
      <w:r>
        <w:rPr/>
        <w:t xml:space="preserve">Право на решение · версия 9.0</w:t>
      </w:r>
    </w:p>
    <w:p>
      <w:pPr>
        <w:pStyle w:val="Normal"/>
      </w:pPr>
      <w:r>
        <w:rPr/>
        <w:t xml:space="preserve">Успешная добыча может лишить добывающее предприятие прежнего основания прибыли.</w:t>
      </w:r>
    </w:p>
    <w:p>
      <w:pPr>
        <w:pStyle w:val="Normal"/>
      </w:pPr>
      <w:r>
        <w:rPr/>
        <w:t xml:space="preserve">Изменим одно условие нашего сценария: несколько независимых поставщиков получили доступ к общей инфраструктуре и увеличили предложение воды. Первая поставка остаётся принятой на прежних условиях. Теперь нас интересует экономика последующих вложений. Появление новых поставщиков здесь принято как условие; оно не доказывает, что их подготовила наша школа.</w:t>
      </w:r>
    </w:p>
    <w:p>
      <w:pPr>
        <w:pStyle w:val="Normal"/>
      </w:pPr>
      <w:r>
        <w:rPr/>
        <w:t xml:space="preserve">Если предложение растёт быстрее платёжеспособного спроса и поставщики конкурируют, цена может снизиться. При удвоении продаж и падении цены вдвое выручка останется прежней. Между тем большее количество продукта ещё нужно произвести и доставить. Успех покупателя, получающего дешёвую воду, может оказаться неуспехом инвестора, рассчитывавшего на доход от её редкости.</w:t>
      </w:r>
    </w:p>
    <w:p>
      <w:pPr>
        <w:pStyle w:val="Normal"/>
      </w:pPr>
      <w:r>
        <w:rPr/>
        <w:t xml:space="preserve">Это изменение вопроса: за что теперь будут платить?</w:t>
      </w:r>
    </w:p>
    <w:p>
      <w:pPr>
        <w:pStyle w:val="Normal"/>
      </w:pPr>
      <w:r>
        <w:rPr/>
        <w:t xml:space="preserve">Один доход связан с веществом, другой — с доставкой в нужное место и время, третий — с готовностью предоставить ограниченную мощность. Надёжная перевозка или испытательная база могут оставаться дорогими после удешевления продукта. Часть дохода может переместиться к этим звеньям. Пользователям может оказаться выгоднее вместе содержать доступную инфраструктуру, чем покупать всю цепь у единственного продавца.</w:t>
      </w:r>
    </w:p>
    <w:p>
      <w:pPr>
        <w:pStyle w:val="Normal"/>
      </w:pPr>
      <w:r>
        <w:rPr/>
        <w:t xml:space="preserve">У лунной производственной ветви предыдущей главы есть ещё один порог. Готовую солнечную систему можно привезти под отдельный заказ. Оборудование для её изготовления придётся оплатить до первой пригодной системы. При малой потребности этот начальный расход может перевесить последующую экономию местного материала. При большом повторяемом спросе — распределиться между многими установками. Удачная первая панель ещё не создаёт поток работы, способный содержать фабрику.</w:t>
      </w:r>
    </w:p>
    <w:p>
      <w:pPr>
        <w:pStyle w:val="Normal"/>
      </w:pPr>
      <w:r>
        <w:rPr/>
        <w:t xml:space="preserve">Если комплекс изготовил оборудование для собственного расширения, продажа могла вообще не состояться. Следующая установка полезна, когда обеспечивает нужную операцию, но её внутренняя оценка не оплачивает счёт земного поставщика. Можно сократить потребность в привозных средствах и всё же остаться без денег на критическую деталь. Для её оплаты нужен полученный доход, доступный капитал или другое принятое основание поставки.</w:t>
      </w:r>
    </w:p>
    <w:p>
      <w:pPr>
        <w:pStyle w:val="Normal"/>
      </w:pPr>
      <w:r>
        <w:rPr/>
        <w:t xml:space="preserve">Покупатель, инвестор и исследовательская сторона смотрят на этот разрыв по-разному. Первый платит за принимаемый результат. Второй предоставляет средства в ожидании возврата и принимает риск потери. Исследовательская поддержка может оплатить ответ, после которого строительство признают нецелесообразным. Полезная установка, ставка на её будущий рынок и полученное знание не превращаются от соседства в одну сегодняшнюю выручку. Совместить основания можно, но каждый плательщик должен понимать, что именно он приобретает.</w:t>
      </w:r>
    </w:p>
    <w:p>
      <w:pPr>
        <w:pStyle w:val="Normal"/>
      </w:pPr>
      <w:r>
        <w:rPr/>
        <w:t xml:space="preserve">Раннее орбитальное производство также имеет собственный предмет. В миссии W-1 компания Varda сообщила о выращивании кристаллов формы III ритонавира; капсула вернулась на Землю 21 февраля 2024 года.</w:t>
      </w:r>
      <w:hyperlink w:anchor="Note1" w:history="1">
        <w:r>
          <w:rPr>
            <w:rStyle w:val="Hyperlink"/>
          </w:rPr>
          <w:t xml:space="preserve">[1]</w:t>
        </w:r>
      </w:hyperlink>
      <w:r>
        <w:rPr/>
        <w:t xml:space="preserve"> Это документальное сообщение о производстве и возвращении, а не подтверждение оплаченного заказа или прибыльности.</w:t>
      </w:r>
    </w:p>
    <w:p>
      <w:pPr>
        <w:pStyle w:val="Normal"/>
      </w:pPr>
      <w:r>
        <w:rPr/>
        <w:t xml:space="preserve">Даже если такая деятельность станет хорошим отдельным бизнесом, её владельцы не обязаны направлять доход на добычу. Для связи с дальнейшей промышленностью нужен конкретный перенос: пригодное оборудование, способ контроля, возвращения продукта или работа с заказчиком, которые понадобятся следующему проекту. Тогда появится предмет нового заказа, инвестиции или исследования. Две полезные деятельности, расположенные рядом в большой картине будущего, ещё не содержат соглашения финансировать друг друга.</w:t>
      </w:r>
    </w:p>
    <w:p>
      <w:pPr>
        <w:pStyle w:val="Normal"/>
      </w:pPr>
      <w:r>
        <w:rPr/>
        <w:t xml:space="preserve">Для развития людей это трудный поворот. Школа, которая выращивает самостоятельных производителей, способна обесценить модель собственного спонсора. Ей удалось то, ради чего она была создана. Прежняя причина её оплачивать исчезает.</w:t>
      </w:r>
    </w:p>
    <w:p>
      <w:pPr>
        <w:pStyle w:val="Normal"/>
      </w:pPr>
      <w:r>
        <w:rPr/>
        <w:t xml:space="preserve">В письме Резерфорду от 16 апреля 1930 года Капица разбирает иную, историческую форму разрыва между успехом и продолжением. Магнитные исследования дали результаты, аппаратура открывала новые области работы. Однако лаборатория сохраняла временный статус. Субсидия заканчивалась через три года, выделенных средств уже не хватало на растущие расходы, свободная площадь была занята.</w:t>
      </w:r>
      <w:hyperlink w:anchor="Note2" w:history="1">
        <w:r>
          <w:rPr>
            <w:rStyle w:val="Hyperlink"/>
          </w:rPr>
          <w:t xml:space="preserve">[2]</w:t>
        </w:r>
      </w:hyperlink>
    </w:p>
    <w:p>
      <w:pPr>
        <w:pStyle w:val="Normal"/>
      </w:pPr>
      <w:r>
        <w:rPr/>
        <w:t xml:space="preserve">Он ставит вопрос за три года до окончания субсидии. В случае перерыва повторный запуск, по его оценке, потребует двух–трёх лет даже с накопленным опытом.</w:t>
      </w:r>
      <w:hyperlink w:anchor="Note2" w:history="1">
        <w:r>
          <w:rPr>
            <w:rStyle w:val="Hyperlink"/>
          </w:rPr>
          <w:t xml:space="preserve">[2]</w:t>
        </w:r>
      </w:hyperlink>
      <w:r>
        <w:rPr/>
        <w:t xml:space="preserve"> Значит, обсуждать будущее приходится до того, как закончатся средства на настоящее. Деньги, найденные после остановки, не обязательно вернут прежнюю возможность работать в тот же день.</w:t>
      </w:r>
    </w:p>
    <w:p>
      <w:pPr>
        <w:pStyle w:val="Normal"/>
      </w:pPr>
      <w:r>
        <w:rPr/>
        <w:t xml:space="preserve">Капица не ограничивается просьбой признать ценность науки. Он рассматривает организации, от которых могло зависеть продолжение. Университет мог счесть работу недостаточно связанной с обучением; поддержка на постоянной основе могла не войти в обычные задачи Департамента научно-технических исследований. Упомянуты другие возможные источники, включая Рокфеллеровский фонд. Их согласия письмо не устанавливает.</w:t>
      </w:r>
    </w:p>
    <w:p>
      <w:pPr>
        <w:pStyle w:val="Normal"/>
      </w:pPr>
      <w:r>
        <w:rPr/>
        <w:t xml:space="preserve">В конце вопрос возвращается к прибору. Водородный ожижитель работает; можно приступать к гелиевому. Но Капица предлагает отложить новую разработку до решения организационных вопросов. У технического продолжения появилась пауза, которую не устранить ещё одним удачным экспериментом.</w:t>
      </w:r>
    </w:p>
    <w:p>
      <w:pPr>
        <w:pStyle w:val="Normal"/>
      </w:pPr>
      <w:r>
        <w:rPr/>
        <w:t xml:space="preserve">Цена развития изменила круг тех, кто способен и готов его поддерживать. Этот механизм понадобится и нам, хотя наша школа не является ни лабораторией Капицы, ни её историческим продолжением.</w:t>
      </w:r>
    </w:p>
    <w:p>
      <w:pPr>
        <w:pStyle w:val="Normal"/>
      </w:pPr>
      <w:r>
        <w:rPr/>
        <w:t xml:space="preserve">Соберём отдельную земную модель общего испытательного узла. Это условный расчёт, не смета космической добычи и не бюджет образовательного пилота, к которому мы придём позже. Предположим, первоначальный спонсор передал установленное оборудование стоимостью шесть миллионов рублей в собственность объединению участников. Передал без долга и обязанности вернуть капитал. Затем ушёл: его прежний интерес к подготовке новых производителей исчерпан. Будущих взносов от него нет.</w:t>
      </w:r>
    </w:p>
    <w:p>
      <w:pPr>
        <w:pStyle w:val="Normal"/>
      </w:pPr>
      <w:r>
        <w:rPr/>
        <w:t xml:space="preserve">Такой дар объясняет, откуда взялся первый актив. Он ещё не объясняет, на что узел проживёт и чем заменит изношенную установку.</w:t>
      </w:r>
    </w:p>
    <w:p>
      <w:pPr>
        <w:pStyle w:val="Normal"/>
      </w:pPr>
      <w:r>
        <w:rPr/>
        <w:t xml:space="preserve">В году доступно 1 200 часов. Из них 900 продаются внешним заказчикам, 200 оставлены для безопасных проб новых команд, 100 — для обслуживания и резерва. Условная цена сервисного часа — десять тысяч рублей. Оплаченные заказы дают девять миллионов. Эксплуатация всей этой мощности требует шести миллионов, ещё 1,2 миллиона ежегодно откладывается на замену оборудования. После этого у оператора остаётся 1,8 миллиона.</w:t>
      </w:r>
      <w:hyperlink w:anchor="Note3" w:history="1">
        <w:r>
          <w:rPr>
            <w:rStyle w:val="Hyperlink"/>
          </w:rPr>
          <w:t xml:space="preserve">[3]</w:t>
        </w:r>
      </w:hyperlink>
    </w:p>
    <w:p>
      <w:pPr>
        <w:pStyle w:val="Normal"/>
      </w:pPr>
      <w:r>
        <w:rPr/>
        <w:t xml:space="preserve">Он может направить остаток собственникам, улучшить услугу, снизить будущий тариф или поддержать другое дело. Новички ещё не приобрели на него права. Для оплаты их освоения требуется отдельное решение.</w:t>
      </w:r>
    </w:p>
    <w:p>
      <w:pPr>
        <w:pStyle w:val="Normal"/>
      </w:pPr>
      <w:r>
        <w:rPr/>
        <w:t xml:space="preserve">Предположим, прежние и потенциальные участники создали самостоятельное объединение. Они ценят возможность учиться, возвращаться к сложной работе и открывать её другим. Из располагаемых доходов вне программы они готовы внести миллион рублей на следующий год. Представители совладельцев узла выбирают добавить ещё миллион из своего остатка. Вместе эти деньги оплачивают помощь, независимую оценку, поддержку участников и передачу работы при выходе.</w:t>
      </w:r>
    </w:p>
    <w:p>
      <w:pPr>
        <w:pStyle w:val="Normal"/>
      </w:pPr>
      <w:r>
        <w:rPr/>
        <w:t xml:space="preserve">Баланс одного года теперь выглядит так:</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rPr>
          <w:cantSplit/>
          <w:tblHeader/>
        </w:trPr>
        <w:tc>
          <w:p>
            <w:pPr>
              <w:pStyle w:val="Normal"/>
            </w:pPr>
            <w:r>
              <w:rPr>
                <w:b/>
              </w:rPr>
              <w:t xml:space="preserve">Поступление или назначение</w:t>
            </w:r>
          </w:p>
        </w:tc>
        <w:tc>
          <w:p>
            <w:pPr>
              <w:pStyle w:val="Normal"/>
            </w:pPr>
            <w:r>
              <w:rPr>
                <w:b/>
              </w:rPr>
              <w:t xml:space="preserve">Миллионов рублей</w:t>
            </w:r>
          </w:p>
        </w:tc>
      </w:tr>
      <w:tr>
        <w:trPr>
          <w:cantSplit/>
        </w:trPr>
        <w:tc>
          <w:p>
            <w:pPr>
              <w:pStyle w:val="Normal"/>
            </w:pPr>
            <w:r>
              <w:rPr/>
              <w:t xml:space="preserve">Оплаченные внешние услуги</w:t>
            </w:r>
          </w:p>
        </w:tc>
        <w:tc>
          <w:p>
            <w:pPr>
              <w:pStyle w:val="Normal"/>
            </w:pPr>
            <w:r>
              <w:rPr/>
              <w:t xml:space="preserve">9,0</w:t>
            </w:r>
          </w:p>
        </w:tc>
      </w:tr>
      <w:tr>
        <w:trPr>
          <w:cantSplit/>
        </w:trPr>
        <w:tc>
          <w:p>
            <w:pPr>
              <w:pStyle w:val="Normal"/>
            </w:pPr>
            <w:r>
              <w:rPr/>
              <w:t xml:space="preserve">Взнос объединения</w:t>
            </w:r>
          </w:p>
        </w:tc>
        <w:tc>
          <w:p>
            <w:pPr>
              <w:pStyle w:val="Normal"/>
            </w:pPr>
            <w:r>
              <w:rPr/>
              <w:t xml:space="preserve">1,0</w:t>
            </w:r>
          </w:p>
        </w:tc>
      </w:tr>
      <w:tr>
        <w:trPr>
          <w:cantSplit/>
        </w:trPr>
        <w:tc>
          <w:p>
            <w:pPr>
              <w:pStyle w:val="Normal"/>
            </w:pPr>
            <w:r>
              <w:rPr/>
              <w:t xml:space="preserve">Эксплуатация</w:t>
            </w:r>
          </w:p>
        </w:tc>
        <w:tc>
          <w:p>
            <w:pPr>
              <w:pStyle w:val="Normal"/>
            </w:pPr>
            <w:r>
              <w:rPr/>
              <w:t xml:space="preserve">−6,0</w:t>
            </w:r>
          </w:p>
        </w:tc>
      </w:tr>
      <w:tr>
        <w:trPr>
          <w:cantSplit/>
        </w:trPr>
        <w:tc>
          <w:p>
            <w:pPr>
              <w:pStyle w:val="Normal"/>
            </w:pPr>
            <w:r>
              <w:rPr/>
              <w:t xml:space="preserve">Помощь, оценка, поддержка участников и выход</w:t>
            </w:r>
          </w:p>
        </w:tc>
        <w:tc>
          <w:p>
            <w:pPr>
              <w:pStyle w:val="Normal"/>
            </w:pPr>
            <w:r>
              <w:rPr/>
              <w:t xml:space="preserve">−2,0</w:t>
            </w:r>
          </w:p>
        </w:tc>
      </w:tr>
      <w:tr>
        <w:trPr>
          <w:cantSplit/>
        </w:trPr>
        <w:tc>
          <w:p>
            <w:pPr>
              <w:pStyle w:val="Normal"/>
            </w:pPr>
            <w:r>
              <w:rPr/>
              <w:t xml:space="preserve">Резерв замены оборудования</w:t>
            </w:r>
          </w:p>
        </w:tc>
        <w:tc>
          <w:p>
            <w:pPr>
              <w:pStyle w:val="Normal"/>
            </w:pPr>
            <w:r>
              <w:rPr/>
              <w:t xml:space="preserve">−1,2</w:t>
            </w:r>
          </w:p>
        </w:tc>
      </w:tr>
      <w:tr>
        <w:trPr>
          <w:cantSplit/>
        </w:trPr>
        <w:tc>
          <w:p>
            <w:pPr>
              <w:pStyle w:val="Normal"/>
            </w:pPr>
            <w:r>
              <w:rPr>
                <w:b/>
              </w:rPr>
              <w:t xml:space="preserve">Свободный остаток</w:t>
            </w:r>
          </w:p>
        </w:tc>
        <w:tc>
          <w:p>
            <w:pPr>
              <w:pStyle w:val="Normal"/>
            </w:pPr>
            <w:r>
              <w:rPr>
                <w:b/>
              </w:rPr>
              <w:t xml:space="preserve">0,8</w:t>
            </w:r>
          </w:p>
        </w:tc>
      </w:tr>
    </w:tbl>
    <w:p>
      <w:pPr>
        <w:pStyle w:val="Normal"/>
      </w:pPr>
      <w:r>
        <w:rPr/>
        <w:t xml:space="preserve">Два миллиона помощи включают миллион оператора; вычитать его ещё раз нельзя. Работа установки в течение двухсот часов уже входит в эксплуатацию. Эти часы не проданы одновременно другому заказчику. Это одна оплаченная деятельность с несколькими назначениями расходов. Если одна проба одновременно полезна для исследования и освоения, её стоимость от этого не удваивается. Но остаются разные вопросы о результате: что узнали, что теперь могут участники и какую пригодную работу получил заказчик. Общий платёж не делает ответы одинаковыми.</w:t>
      </w:r>
    </w:p>
    <w:p>
      <w:pPr>
        <w:pStyle w:val="Normal"/>
      </w:pPr>
      <w:r>
        <w:rPr/>
        <w:t xml:space="preserve">Проследим, что происходит при следующем продлении. Сначала покупатели снова заказывают испытания. Их деньги приходят из собственных бюджетов: им нужна услуга с определёнными качеством, ценой и сроком. Они оплачивают работу узла, а не благодарят школу за прежние достижения.</w:t>
      </w:r>
    </w:p>
    <w:p>
      <w:pPr>
        <w:pStyle w:val="Normal"/>
      </w:pPr>
      <w:r>
        <w:rPr/>
        <w:t xml:space="preserve">Затем объединение предлагает свой миллион. За ним стоит проверяемый предмет: двести часов внешних проб, доступная подготовка и результаты, с которыми можно продолжить в другом месте. Членство в объединении и взнос не становятся условием подачи заявки. Подходящая новая команда может прийти снаружи. Ей предстоит обосновать задачу и допустимость пробы; требовать уже имеющейся репутации выпускника означало бы закрыть именно тот вход, за который платят.</w:t>
      </w:r>
    </w:p>
    <w:p>
      <w:pPr>
        <w:pStyle w:val="Normal"/>
      </w:pPr>
      <w:r>
        <w:rPr/>
        <w:t xml:space="preserve">Наконец, совладельцы решают, готовы ли они снова выделить свой миллион и время установки. Они видят полную цену решения. При наличии дополнительных платёжеспособных заказов эти двести часов могли бы дать до двух миллионов валовой выручки. Если таких заказов нет, считать их потерянной выручкой было бы выдумкой. Но и тогда человеческая помощь отнимает миллион, которым собственники могли распорядиться иначе.</w:t>
      </w:r>
    </w:p>
    <w:p>
      <w:pPr>
        <w:pStyle w:val="Normal"/>
      </w:pPr>
      <w:r>
        <w:rPr/>
        <w:t xml:space="preserve">Согласие всех трёх сторон обеспечивает очередной год. У каждого согласия свой предмет и своё основание. Пока действуют оплаченные обязательства, их надо исполнять; следующего года они автоматически не покупают.</w:t>
      </w:r>
    </w:p>
    <w:p>
      <w:pPr>
        <w:pStyle w:val="Normal"/>
      </w:pPr>
      <w:r>
        <w:rPr/>
        <w:t xml:space="preserve">Поэтому момент согласия существенен. В нашем расчёте отсутствие кассового разрыва принято условием: перед набором обеспечены средства на уже обещанную работу. Итоговая сумма годовых поступлений сама этого не доказывает. Если деньги появятся только после срока, в который надо начать подготовку и предоставить установку, год может закончиться положительным балансом, а принятое обещание — остаться невыполненным.</w:t>
      </w:r>
    </w:p>
    <w:p>
      <w:pPr>
        <w:pStyle w:val="Normal"/>
      </w:pPr>
      <w:r>
        <w:rPr/>
        <w:t xml:space="preserve">Более длинное добровольное соглашение могло бы уменьшить эту неопределённость. Но оно меняет положение плательщика: часть будущих средств уже получила назначение, которое нельзя свободно пересмотреть как ещё не принятое решение. Договор на год и согласие на несколько лет могут быть выражены одинаковой годовой суммой, а дают разную возможность планировать продолжение. Мы пока считаем первый вариант, не приписывая ему защиту второго.</w:t>
      </w:r>
    </w:p>
    <w:p>
      <w:pPr>
        <w:pStyle w:val="Normal"/>
      </w:pPr>
      <w:r>
        <w:rPr/>
        <w:t xml:space="preserve">Если те же условия возобновятся пять раз, резерв замены накопит шесть миллионов. На них приобретается новая установка, резерв обнуляется; свободных денег за пять лет остаётся четыре миллиона. Первоначальный подарок не потребовался второй раз. В пределах модели узел восстановил оборудование, оплатил человеческую программу и сохранил остаток.</w:t>
      </w:r>
    </w:p>
    <w:p>
      <w:pPr>
        <w:pStyle w:val="Normal"/>
      </w:pPr>
      <w:r>
        <w:rPr/>
        <w:t xml:space="preserve">Однако эти шесть миллионов предназначены для замены средства, на котором держится услуга. Они не вложены одновременно в оснащение для любого будущего замысла. Следующая команда может продолжить полезную работу на том же типе установки; ей не требуется новая техника ради новизны. Если выбранная задача требует иного средства, понадобится отдельно сравнить его цену, подходящую услугу и возможность отказаться от такого направления. Восстановить действующий узел и заранее оплатить любое его продолжение — разные результаты.</w:t>
      </w:r>
    </w:p>
    <w:p>
      <w:pPr>
        <w:pStyle w:val="Normal"/>
      </w:pPr>
      <w:r>
        <w:rPr/>
        <w:t xml:space="preserve">Теперь можно увидеть, что именно удалось замкнуть. Денежный поток способен оплатить следующий вход после ухода спонсора. Для этого не понадобилась прибыль от будущих изобретений новичков. Потребовались продаваемая услуга, отдельный взнос людей, ценящих освоение, и решение владельцев разделить его цену.</w:t>
      </w:r>
    </w:p>
    <w:p>
      <w:pPr>
        <w:pStyle w:val="Normal"/>
      </w:pPr>
      <w:r>
        <w:rPr/>
        <w:t xml:space="preserve">Пять одинаковых строк в расчёте, однако, не являются пятью решениями людей.</w:t>
      </w:r>
    </w:p>
    <w:p>
      <w:pPr>
        <w:pStyle w:val="Normal"/>
      </w:pPr>
      <w:r>
        <w:rPr/>
        <w:t xml:space="preserve">Может измениться не только готовность выделить сумму, но и ответ на вопрос, за что её выделяют. Принятый протокол испытания устраивает заказчика; для стороны, оплачивающей освоение, он ещё не показывает, что люди смогут продолжить работу. И наоборот: содержательный учебный результат не делает непригодный протокол выполненным заказом. Если оплачено честное исследование, отрицательный ответ может исполнить его назначение. При продлении надо вернуться к принятому обещанию, а не требовать одинакового успеха от всех частей одной пробы.</w:t>
      </w:r>
    </w:p>
    <w:p>
      <w:pPr>
        <w:pStyle w:val="Normal"/>
      </w:pPr>
      <w:r>
        <w:rPr/>
        <w:t xml:space="preserve">Допустим, удачные пробы дали новых поставщиков. У покупателей расширился выбор. Но зачем им финансировать человеческую подготовку, если новые машинные организации предлагают ещё более надёжную услугу? При нашем сильном допущении ИИ может создавать предприятия и без школы. Конкуренция сохранится, зависимость от первого продавца уменьшится, а становление людей перестанет быть необходимым для обеих выгод.</w:t>
      </w:r>
    </w:p>
    <w:p>
      <w:pPr>
        <w:pStyle w:val="Normal"/>
      </w:pPr>
      <w:r>
        <w:rPr/>
        <w:t xml:space="preserve">Тогда человеческая часть бюджета держится на том, что две другие стороны ценят её саму и готовы платить. Это не недостаток, который следует скрыть новым доказательством человеческой незаменимости. Это назначение средств, о котором им предстоит договориться. Помощь может иметь самостоятельную ценность, не становясь требованием к любому успешному собственнику.</w:t>
      </w:r>
    </w:p>
    <w:p>
      <w:pPr>
        <w:pStyle w:val="Normal"/>
      </w:pPr>
      <w:r>
        <w:rPr/>
        <w:t xml:space="preserve">Рассмотрим законный отказ. Совладельцы решают не поддерживать следующий набор. Встречного миллиона объединение тоже не вносит. Уже принятая группа завершает обещанную работу, а новая не появляется. При прежних девяти миллионах заказов после эксплуатации и резерва у оператора остаётся 1,8 миллиона. Если дополнительно проданы освободившиеся двести часов — 3,8 миллиона. Второй исход требует действительного спроса.</w:t>
      </w:r>
    </w:p>
    <w:p>
      <w:pPr>
        <w:pStyle w:val="Normal"/>
      </w:pPr>
      <w:r>
        <w:rPr/>
        <w:t xml:space="preserve">Установка исправна. Заказчики довольны. Владельцы получают больше средств или направляют их на более важную для них задачу. Школа перестала открывать вход без хищения, обмана и технической неудачи.</w:t>
      </w:r>
    </w:p>
    <w:p>
      <w:pPr>
        <w:pStyle w:val="Normal"/>
      </w:pPr>
      <w:r>
        <w:rPr/>
        <w:t xml:space="preserve">Есть и менее благополучная причина остановки. Если оплачены только семьсот сервисных часов, поступит семь миллионов, а эксплуатация и замена по прежнему плану требуют 7,2. Дефицит возникает ещё до нового набора. Свободные накопления помогут пережить паузу, но это расход запаса. Понадобятся иная цена, меньшие затраты, другой заказ или новый явный вклад. Изъять деньги из резерва и сохранить прежнее обещание заменить установку нельзя.</w:t>
      </w:r>
    </w:p>
    <w:p>
      <w:pPr>
        <w:pStyle w:val="Normal"/>
      </w:pPr>
      <w:r>
        <w:rPr/>
        <w:t xml:space="preserve">У открытого порядка поэтому два разных испытания. Бывает, что люди хотят продолжать, а средств не хватает. Бывает, что средства есть, но они выбирают другое назначение. Хороший расчёт помогает различить эти положения; он не превращает второе в первое, чтобы объявить отказ неизбежным, и не превращает первое во второе, чтобы обвинить плательщика в отсутствии доброй воли.</w:t>
      </w:r>
    </w:p>
    <w:p>
      <w:pPr>
        <w:pStyle w:val="Normal"/>
      </w:pPr>
      <w:r>
        <w:rPr/>
        <w:t xml:space="preserve">На общественном масштабе эти решения тоже требуют источника. Если фонд оплаты труда сокращается, прежнее финансирование из связанных с ним поступлений может ослабеть. Автоматизированный выпуск способен расти одновременно с этой потерей. Доходы от приобретённых активов, добровольные взносы, общественные услуги и обязательные платежи создают разные отношения между получателем и плательщиком. Рост машинной прибыли сам по себе не переводит её в общий бюджет.</w:t>
      </w:r>
    </w:p>
    <w:p>
      <w:pPr>
        <w:pStyle w:val="Normal"/>
      </w:pPr>
      <w:r>
        <w:rPr/>
        <w:t xml:space="preserve">Обязательное общественное финансирование может быть предложено ради доступного пути к самостоятельной деятельности. Но его надо обосновывать перед теми, кто платит и предпочёл бы другое применение средств: какую возможность оно сохраняет, почему добровольных способов недостаточно, как ограничены расходы и власть распорядителя. Одной желательности образования для этого мало. Столь же мало назвать выплату человеку доказательством того, что ему доступны оборудование и право начать собственную работу.</w:t>
      </w:r>
    </w:p>
    <w:p>
      <w:pPr>
        <w:pStyle w:val="Normal"/>
      </w:pPr>
      <w:r>
        <w:rPr/>
        <w:t xml:space="preserve">Мы получили возможную коалицию продолжения, а вместе с ней — объяснение её распада. Она существует, пока конкретные стороны возобновляют конкретный обмен и поддержку. Появившиеся благодаря ей предприятия могут укрепить эту связь, а могут сделать её менее выгодной. Успех больше не служит обещанием следующего успеха.</w:t>
      </w:r>
    </w:p>
    <w:p>
      <w:pPr>
        <w:pStyle w:val="Normal"/>
      </w:pPr>
      <w:r>
        <w:rPr/>
        <w:t xml:space="preserve">Теперь предстоит проверить другое. Даже если деньги и двести часов вновь выделены, кому они достанутся? Старые участники уже умеют показывать хороший результат. Именно это может сделать их самыми убедительными претендентами на средства, предназначенные для появления новых.</w:t>
      </w:r>
    </w:p>
    <w:p>
      <w:pPr>
        <w:pStyle w:val="Heading1"/>
      </w:pPr>
      <w:r>
        <w:rPr/>
        <w:t xml:space="preserve">Источники и примечания</w:t>
      </w:r>
    </w:p>
    <w:p>
      <w:pPr>
        <w:pStyle w:val="Note"/>
      </w:pPr>
      <w:bookmarkStart w:id="1" w:name="Note1"/>
      <w:r>
        <w:rPr/>
        <w:t xml:space="preserve">1. </w:t>
      </w:r>
      <w:r>
        <w:rPr/>
        <w:t xml:space="preserve">Varda. </w:t>
      </w:r>
      <w:hyperlink w:history="1" r:id="link1">
        <w:r>
          <w:rPr>
            <w:i/>
            <w:rStyle w:val="Hyperlink"/>
          </w:rPr>
          <w:t xml:space="preserve">W-1</w:t>
        </w:r>
      </w:hyperlink>
      <w:r>
        <w:rPr/>
        <w:t xml:space="preserve">, разделы </w:t>
      </w:r>
      <w:r>
        <w:rPr>
          <w:i/>
        </w:rPr>
        <w:t xml:space="preserve">Summary</w:t>
      </w:r>
      <w:r>
        <w:rPr/>
        <w:t xml:space="preserve">, </w:t>
      </w:r>
      <w:r>
        <w:rPr>
          <w:i/>
        </w:rPr>
        <w:t xml:space="preserve">Mission type</w:t>
      </w:r>
      <w:r>
        <w:rPr/>
        <w:t xml:space="preserve">, </w:t>
      </w:r>
      <w:r>
        <w:rPr>
          <w:i/>
        </w:rPr>
        <w:t xml:space="preserve">Launch date</w:t>
      </w:r>
      <w:r>
        <w:rPr/>
        <w:t xml:space="preserve"> и </w:t>
      </w:r>
      <w:r>
        <w:rPr>
          <w:i/>
        </w:rPr>
        <w:t xml:space="preserve">Reentry date</w:t>
      </w:r>
      <w:r>
        <w:rPr/>
        <w:t xml:space="preserve">. Заново проверены 7 сентября 2026 года. Компания сообщает о выращивании кристаллов формы III ритонавира и возвращении 21 февраля 2024 года. Оплаченный заказ, цена, прибыльность, клинические свойства, невозможность земного аналога и перенос в добычу этим сообщением не установлены. Последующий бизнес и связь с иной промышленностью рассматриваются условно.</w:t>
      </w:r>
      <w:bookmarkEnd w:id="1"/>
    </w:p>
    <w:p>
      <w:pPr>
        <w:pStyle w:val="Note"/>
      </w:pPr>
      <w:bookmarkStart w:id="2" w:name="Note2"/>
      <w:r>
        <w:rPr/>
        <w:t xml:space="preserve">2. </w:t>
      </w:r>
      <w:r>
        <w:rPr/>
        <w:t xml:space="preserve">П. Л. Капица. «Письма о науке», письмо Э. Резерфорду, Кембридж, 16 апреля 1930 года. Использованы фрагменты о временном статусе лаборатории, сроке субсидии и помещении, возможных основаниях поддержки университета, Департамента научно-технических исследований и иных организаций, решении отложить гелиевый ожижитель до прояснения условий. Оценка двух–трёх лет для повторного запуска взята из абзаца «Я надеюсь, Вы понимаете…». В издании письмо дано в переводе с английского. Указанные фрагменты заново проверены 7 сентября 2026 года. Срок повторного запуска — оценка автора письма, не измеренная продолжительность остановки. Обсуждавшиеся источники поддержки не объявлены полученными, предложение о переносе оборудования — состоявшимся переносом.</w:t>
      </w:r>
      <w:bookmarkEnd w:id="2"/>
    </w:p>
    <w:p>
      <w:pPr>
        <w:pStyle w:val="Note"/>
      </w:pPr>
      <w:bookmarkStart w:id="3" w:name="Note3"/>
      <w:r>
        <w:rPr/>
        <w:t xml:space="preserve">3. </w:t>
      </w:r>
      <w:r>
        <w:rPr/>
        <w:t xml:space="preserve">Все суммы модели — миллионы рублей в постоянных условных ценах. Эксплуатация шесть миллионов принята достаточной для 1 100 продуктивных часов; человеческие два миллиона условно включают помощь 1,2, оценку 0,3, поддержку и выход 0,5. Первоначальный актив передан безвозмездно, новая установка за шесть миллионов приобретается в конце пятого года. Налоги, инфляция, неплатежи и дисконтирование не оценены; отсутствие кассовых разрывов предполагает обеспеченные средства перед набором. Расчёт устанавливает арифметическую возможность при заданных условиях, не рыночную состоятельность или число людей, которых удастся подготовить. Права, организации и соглашения — условия мысленного эксперимента, не действующие договоры.</w:t>
      </w:r>
      <w:bookmarkEnd w:id="3"/>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varda.com/mission/w-1" TargetMode="External" /></Relationships>
</file>