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13. Когда можно доверить решение</w:t>
      </w:r>
    </w:p>
    <w:p>
      <w:pPr>
        <w:pStyle w:val="Subtitle"/>
      </w:pPr>
      <w:r>
        <w:rPr/>
        <w:t xml:space="preserve">Право на решение · версия 9.0</w:t>
      </w:r>
    </w:p>
    <w:p>
      <w:pPr>
        <w:pStyle w:val="Normal"/>
      </w:pPr>
      <w:r>
        <w:rPr/>
        <w:t xml:space="preserve">Последняя подпись под решением может оказаться местом, где ответственность отделяется от власти.</w:t>
      </w:r>
    </w:p>
    <w:p>
      <w:pPr>
        <w:pStyle w:val="Normal"/>
      </w:pPr>
      <w:r>
        <w:rPr/>
        <w:t xml:space="preserve">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pStyle w:val="Normal"/>
      </w:pPr>
      <w:r>
        <w:rPr/>
        <w:t xml:space="preserve">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pStyle w:val="Normal"/>
      </w:pPr>
      <w:r>
        <w:rPr/>
        <w:t xml:space="preserve">Есть и обратная ошибка: приписать тому же человеку весь удачный результат. Марк Галлай в рассуждении о лётной этике удерживает обе стороны. Самолёт испытывает большой коллектив; лётчик несёт личную ответственность за то, что сам решил и осуществил. И обвинение, и общественное одобрение могут сосредоточиться на нём заслуженно или незаслуженно. Наземное задание, подготовка машины, работа служб и экипажа входят в процесс, который начался задолго до вылета и не заканчивается посадкой.</w:t>
      </w:r>
      <w:hyperlink w:anchor="Note1" w:history="1">
        <w:r>
          <w:rPr>
            <w:rStyle w:val="Hyperlink"/>
          </w:rPr>
          <w:t xml:space="preserve">[1]</w:t>
        </w:r>
      </w:hyperlink>
    </w:p>
    <w:p>
      <w:pPr>
        <w:pStyle w:val="Normal"/>
      </w:pPr>
      <w:r>
        <w:rPr/>
        <w:t xml:space="preserve">Коллективность не растворяет собственное действие человека. Она помогает точнее его назвать. Для нашей лаборатории это означает один и тот же вопрос при неудаче и при успехе: что именно сделал участник, какие решения получил готовыми и чем обеспечили его работу? Последняя подпись не должна присваивать ему ни все чужие ошибки, ни всю силу доступной системы.</w:t>
      </w:r>
    </w:p>
    <w:p>
      <w:pPr>
        <w:pStyle w:val="Normal"/>
      </w:pPr>
      <w:r>
        <w:rPr/>
        <w:t xml:space="preserve">Нужно различить два основания: способен ли человек выполнить действие и кто поручил ему его выполнять. Проверить комплектность данных, оценить пригодность измерения, выбрать способ анализа и разрешить применение результата — разные полномочия. Участник может освоить первое, хорошо организовать второе и пока не иметь ни подготовки, ни поручения для последнего. Знание устройства лаборатории не делает его её собственником. Договорное полномочие, в свою очередь, не создаёт недостающего умения.</w:t>
      </w:r>
    </w:p>
    <w:p>
      <w:pPr>
        <w:pStyle w:val="Normal"/>
      </w:pPr>
      <w:r>
        <w:rPr/>
        <w:t xml:space="preserve">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pStyle w:val="Normal"/>
      </w:pPr>
      <w:r>
        <w:rPr/>
        <w:t xml:space="preserve">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pStyle w:val="Normal"/>
      </w:pPr>
      <w:r>
        <w:rPr/>
        <w:t xml:space="preserve">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pStyle w:val="Normal"/>
      </w:pPr>
      <w:r>
        <w:rPr/>
        <w:t xml:space="preserve">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pStyle w:val="Normal"/>
      </w:pPr>
      <w:r>
        <w:rPr/>
        <w:t xml:space="preserve">Вернёмся к исходной подписи. Допустим, недостающие сведения предоставлены, нужная проверка проведена, а ИИ правильно помог установить пригодность измерения. Теперь заключение имеет основание. Но надо ещё знать, что оно разрешает. Те же данные можно использовать для разбора метода или для выбора режима действующей установки. Расчёт остался прежним; последствия его применения изменились.</w:t>
      </w:r>
    </w:p>
    <w:p>
      <w:pPr>
        <w:pStyle w:val="Normal"/>
      </w:pPr>
      <w:r>
        <w:rPr/>
        <w:t xml:space="preserve">Участнику можно поручить обосновать пригодность данных для определённого использования, а разрешение самой операции оставить другой стороне. Тогда передаваться должно заключение вместе с областью, в которой оно проверено, и существенными условиями его применения. Получатель решает свой вопрос, опираясь на это основание. Если область назначения изменилась, хорошая подпись под прежним выводом не расширяет его сама собой. Полностью исполненное поручение может закончиться передачей обоснованного заключения, не давая власти над всеми следующими действиями.</w:t>
      </w:r>
    </w:p>
    <w:p>
      <w:pPr>
        <w:pStyle w:val="Normal"/>
      </w:pPr>
      <w:r>
        <w:rPr/>
        <w:t xml:space="preserve">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pStyle w:val="Normal"/>
      </w:pPr>
      <w:r>
        <w:rPr/>
        <w:t xml:space="preserve">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pStyle w:val="Normal"/>
      </w:pPr>
      <w:r>
        <w:rPr/>
        <w:t xml:space="preserve">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pStyle w:val="Normal"/>
      </w:pPr>
      <w:r>
        <w:rPr/>
        <w:t xml:space="preserve">Время для такого действия тоже может быть занято чужим поручением. Черток, описывая управление полётом «Союза-10» рядом с «Салютом», показывает, как требования непрерывных докладов отрывали непосредственных руководителей от оперативной работы. Агаджанов одновременно передавал команды, обеспечивал связь с экипажем и комментировал происходящее для Государственной комиссии. Это были разные адресаты с разными потребностями в сведениях.</w:t>
      </w:r>
      <w:hyperlink w:anchor="Note2" w:history="1">
        <w:r>
          <w:rPr>
            <w:rStyle w:val="Hyperlink"/>
          </w:rPr>
          <w:t xml:space="preserve">[2]</w:t>
        </w:r>
      </w:hyperlink>
    </w:p>
    <w:p>
      <w:pPr>
        <w:pStyle w:val="Normal"/>
      </w:pPr>
      <w:r>
        <w:rPr/>
        <w:t xml:space="preserve">Дальше в том же описании автоматическое сближение продолжалось, а эстафета связи между пунктами шла без провалов. Затруднение людей в зале не означало остановки остальной системы. Поэтому из этого случая нельзя получить простое требование всё время вмешиваться вручную. Он ставит другой вопрос: когда человек действительно должен решить, остаётся ли у него возможность исполнить это поручение среди остальных обязанностей?</w:t>
      </w:r>
    </w:p>
    <w:p>
      <w:pPr>
        <w:pStyle w:val="Normal"/>
      </w:pPr>
      <w:r>
        <w:rPr/>
        <w:t xml:space="preserve">Потребность руководства в информации имеет основание. Но получать её можно разными способами. Сильный ИИ способен готовить сводки, отвечать на уточнения и выделять существенные изменения; часть работы можно передать другому участнику или выполнить заранее. Если этого недостаточно, придётся сузить одновременное поручение или изменить порядок обращения. Любой вариант требует доступных сведений, средств и принятого распределения работы. Нельзя считать одно и то же время полностью отданным оперативному решению и одновременно свободным для всех остальных требований.</w:t>
      </w:r>
    </w:p>
    <w:p>
      <w:pPr>
        <w:pStyle w:val="Normal"/>
      </w:pPr>
      <w:r>
        <w:rPr/>
        <w:t xml:space="preserve">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pStyle w:val="Normal"/>
      </w:pPr>
      <w:r>
        <w:rPr/>
        <w:t xml:space="preserve">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pStyle w:val="Normal"/>
      </w:pPr>
      <w:r>
        <w:rPr/>
        <w:t xml:space="preserve">Обоснованный отказ оставляет конкретную работу: освоить недостающее различение, сузить область решения или провести безопасную пробу. Если единственный путь к ней — долгий неоплаченный период, одинаковый стандарт начнёт отбирать по семейному резерву. Это ещё не обязанность лаборатории содержать каждого кандидата. Но это причина спросить, нельзя ли предъявить ту же способность меньшей пробой, объединить оплату проверки или договориться с другим заказчиком. Тогда снижается цена доказательства готовности, а требование безопасности сохраняется.</w:t>
      </w:r>
    </w:p>
    <w:p>
      <w:pPr>
        <w:pStyle w:val="Normal"/>
      </w:pPr>
      <w:r>
        <w:rPr/>
        <w:t xml:space="preserve">Есть и более тихий способ никого не допустить. После каждой удачной пробы появляется ещё одна ступень, а обещанная область решений не расширяется. Участник годами подтверждает готовность к следующему подтверждению. Если полномочие было предметом соглашения, его нельзя незаметно заменить бесконечной подготовкой. Если соглашения не было, одна способность не создаёт требования к чужой должности. В обоих случаях полезнее назвать действительное препятствие: недостаток умения, отсутствие места, цену риска или нежелание поручать эту работу. Следующая проверка способности отвечает только на первый вопрос.</w:t>
      </w:r>
    </w:p>
    <w:p>
      <w:pPr>
        <w:pStyle w:val="Normal"/>
      </w:pPr>
      <w:r>
        <w:rPr/>
        <w:t xml:space="preserve">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pStyle w:val="Normal"/>
      </w:pPr>
      <w:r>
        <w:rPr/>
        <w:t xml:space="preserve">Допустим теперь, что инструмент стал лучше и выдаёт результаты быстрее. Участник может получать каждое заключение более высокого качества, а времени на свою часть работы иметь меньше: ему одновременно передали больше решений. Прежнее умение не исчезло. Изменилось сочетание нагрузки, срока и поручения, которому доверяли. Если человека оставляют последним согласующим, надо проверить, способен ли он выполнять именно эту работу в новых условиях; если его участие больше не нужно на этом участке, можно честно изменить само распределение действий.</w:t>
      </w:r>
    </w:p>
    <w:p>
      <w:pPr>
        <w:pStyle w:val="Normal"/>
      </w:pPr>
      <w:r>
        <w:rPr/>
        <w:t xml:space="preserve">Пересмотр доверия поэтому начинается с изменившегося основания. Новое применение может требовать другой проверки; прежнее применение с теми же существенными условиями — позволять сохранить уже полученное заключение. Новое название задачи или версия программы сами по себе не назначают полный повтор всех испытаний. Но и улучшение отдельного инструмента не удостоверяет сразу любое расширенное поручение.</w:t>
      </w:r>
    </w:p>
    <w:p>
      <w:pPr>
        <w:pStyle w:val="Normal"/>
      </w:pPr>
      <w:r>
        <w:rPr/>
        <w:t xml:space="preserve">Другая организация вправе оценить, подходят ли ей прежние основания, и может потребовать проверки нового существенного условия. Ей не обязательно заново оплачивать установление того, что она уже признаёт. Можно сохранить часть подтверждённой готовности, дополнить недостающую или сузить доверяемую область. Это позволяет искать цену следующего шага, не подменяя её ни безусловным признанием любого удостоверения, ни полным обнулением показанного.</w:t>
      </w:r>
    </w:p>
    <w:p>
      <w:pPr>
        <w:pStyle w:val="Normal"/>
      </w:pPr>
      <w:r>
        <w:rPr/>
        <w:t xml:space="preserve">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hyperlink w:anchor="Note3" w:history="1">
        <w:r>
          <w:rPr>
            <w:rStyle w:val="Hyperlink"/>
          </w:rPr>
          <w:t xml:space="preserve">[3]</w:t>
        </w:r>
      </w:hyperlink>
    </w:p>
    <w:p>
      <w:pPr>
        <w:pStyle w:val="Normal"/>
      </w:pPr>
      <w:r>
        <w:rPr/>
        <w:t xml:space="preserve">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t xml:space="preserve">Источники и примечания</w:t>
      </w:r>
    </w:p>
    <w:p>
      <w:pPr>
        <w:pStyle w:val="Note"/>
      </w:pPr>
      <w:bookmarkStart w:id="1" w:name="Note1"/>
      <w:r>
        <w:rPr/>
        <w:t xml:space="preserve">1. </w:t>
      </w:r>
      <w:r>
        <w:rPr/>
        <w:t xml:space="preserve">Марк Галлай. «Еще о летной этике», электронный текст под заголовком «Испытано в небе». Предоставленный HTML: от абзаца «Лётчики-испытатели редко употребляют эти выражения…» через «Современный самолёт испытывает большой коллектив…» и «Нечто сходное можно сказать и о лётчике…» до абзаца «Многие, очень многие смертные грешат…» с выводом о коллективности процесса. Фрагмент заново прочитан 7 сентября 2026 года; год соответствующего печатного издания не установлен. Это профессиональное рассуждение автора, не статистическая или юридическая проверка ответственности. Полемика о названиях самолётов не используется. Личная ответственность в его описании не доказывает будущей незаменимости человека при сильном ИИ.</w:t>
      </w:r>
      <w:bookmarkEnd w:id="1"/>
    </w:p>
    <w:p>
      <w:pPr>
        <w:pStyle w:val="Note"/>
      </w:pPr>
      <w:bookmarkStart w:id="2" w:name="Note2"/>
      <w:r>
        <w:rPr/>
        <w:t xml:space="preserve">2. </w:t>
      </w:r>
      <w:r>
        <w:rPr/>
        <w:t xml:space="preserve">Б. Е. Черток. «Ракеты и люди», книга 4, глава 15 «Первая орбитальная станция вышла на орбиту», PDF-с. 190–192 предоставленного русского файла. Заново прочитаны 7 сентября 2026 года; нумерация страниц файла, не отдельно проверенная печатная пагинация. На с. 190–191 — конкуренция оперативных команд и требований доклада; на с. 192 — продолжение автоматического сближения и передача связи без провалов. Мемуарное свидетельство не является независимым доказательством причины технического исхода. Последующий ход стыковки этим фрагментом не охвачен; реплики, сцена и мысли участников в главе не реконструируются. Предлагаемое распределение времени рядом с ИИ — авторский вывод, не проведённый образовательный опыт.</w:t>
      </w:r>
      <w:bookmarkEnd w:id="2"/>
    </w:p>
    <w:p>
      <w:pPr>
        <w:pStyle w:val="Note"/>
      </w:pPr>
      <w:bookmarkStart w:id="3" w:name="Note3"/>
      <w:r>
        <w:rPr/>
        <w:t xml:space="preserve">3. </w:t>
      </w:r>
      <w:r>
        <w:rPr/>
        <w:t xml:space="preserve">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