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14. Кто выбирает ваше развитие</w:t>
      </w:r>
    </w:p>
    <w:p>
      <w:pPr>
        <w:pStyle w:val="Subtitle"/>
      </w:pPr>
      <w:r>
        <w:rPr/>
        <w:t xml:space="preserve">Право на решение · версия 9.0</w:t>
      </w:r>
    </w:p>
    <w:p>
      <w:pPr>
        <w:pStyle w:val="Normal"/>
      </w:pPr>
      <w:r>
        <w:rPr/>
        <w:t xml:space="preserve">Хорошая помощь может изменить то, чего человек хочет.</w:t>
      </w:r>
    </w:p>
    <w:p>
      <w:pPr>
        <w:pStyle w:val="Normal"/>
      </w:pPr>
      <w:r>
        <w:rPr/>
        <w:t xml:space="preserve">До знакомства с предметом он не знал, что вопрос существует. После нескольких проб начал различать в нём трудность, увидел собственную возможность и захотел продолжать. Наставник помог ему найти интерес, которого прежде не было. Было бы странно считать такое изменение утратой свободы.</w:t>
      </w:r>
    </w:p>
    <w:p>
      <w:pPr>
        <w:pStyle w:val="Normal"/>
      </w:pPr>
      <w:r>
        <w:rPr/>
        <w:t xml:space="preserve">Но представим, что тот же наставник получает все задачи от одной организации, оценивает успех по её потребностям и открывает только полезные ей продолжения. Человек действительно увлечён. Его желание не поддельное. И всё же выбор будущего постепенно принимает форму чужого заказа.</w:t>
      </w:r>
    </w:p>
    <w:p>
      <w:pPr>
        <w:pStyle w:val="Normal"/>
      </w:pPr>
      <w:r>
        <w:rPr/>
        <w:t xml:space="preserve">Различие нельзя обнаружить одним вопросом, доволен ли участник. Довольство возможно в обоих случаях. Нельзя решить его и требованием выбирать до всякой помощи: новичок ещё не знает достаточно, чтобы сравнить направления. Свобода развития нуждается во влиянии, которое открывает возможное, и в способности пересматривать само это влияние.</w:t>
      </w:r>
    </w:p>
    <w:p>
      <w:pPr>
        <w:pStyle w:val="Normal"/>
      </w:pPr>
      <w:r>
        <w:rPr/>
        <w:t xml:space="preserve">У Феоктистова в «Траектории жизни» это расхождение возникает внутри вполне интересной инженерной работы. Он вспоминает распределение после МВТУ в новое конструкторское бюро под Златоустом: обещанное дело, по его тогдашней оценке, не вело к выбранной цели. Дальше он описывает самостоятельную наладку сварочного оборудования и удовлетворение от разобранных технических затруднений. Работа давала настоящий предмет и возможность действовать; это не отменяло отдельного вопроса о направлении пути.</w:t>
      </w:r>
      <w:hyperlink w:anchor="Note5" w:history="1">
        <w:r>
          <w:rPr>
            <w:rStyle w:val="Hyperlink"/>
          </w:rPr>
          <w:t xml:space="preserve">[5]</w:t>
        </w:r>
      </w:hyperlink>
    </w:p>
    <w:p>
      <w:pPr>
        <w:pStyle w:val="Normal"/>
      </w:pPr>
      <w:r>
        <w:rPr/>
        <w:t xml:space="preserve">Полезность дела, интерес к нему и приобретённое умение ещё не складываются сами собой в ответ о том, ради чего продолжать. Человек может сознательно выбрать такую работу за плату, ради мастерства или потому, что разделяет цель организации. Ему не обязательно требовать от каждой должности выражения всей своей жизни. Но успешность внутри выбранного места не делает вопрос о другом пути бессмысленным.</w:t>
      </w:r>
    </w:p>
    <w:p>
      <w:pPr>
        <w:pStyle w:val="Normal"/>
      </w:pPr>
      <w:r>
        <w:rPr/>
        <w:t xml:space="preserve">У Станислава Лема этот вопрос возникает задолго до нынешних помощников. В обсуждении машинного подбора партнёров его интересует не только удачность рекомендации. Лем допускает, что выбор вопреки совету получит особую общественную оценку: поступок будут воспринимать уже через отношение к машинной норме. Отказ остаётся возможен, но общественная цена отказа меняется.</w:t>
      </w:r>
      <w:hyperlink w:anchor="Note4" w:history="1">
        <w:r>
          <w:rPr>
            <w:rStyle w:val="Hyperlink"/>
          </w:rPr>
          <w:t xml:space="preserve">[4]</w:t>
        </w:r>
      </w:hyperlink>
      <w:r>
        <w:rPr/>
        <w:t xml:space="preserve"> С обучением может произойти похожее: собственный интерес приходится защищать уже не от запрета, а от предположения, что лучший помощник наверняка знает лучше.</w:t>
      </w:r>
    </w:p>
    <w:p>
      <w:pPr>
        <w:pStyle w:val="Normal"/>
      </w:pPr>
      <w:r>
        <w:rPr/>
        <w:t xml:space="preserve">Сама рекомендация в модели Лема расширяет реальный круг выбора: машина ищет среди гораздо большего числа людей и предлагает группу подходящих кандидатов. Сильная помощь не обязана обеднять множество вариантов. Но группа уже отобрана по определённому представлению о подходящем; Лем также ставит под вопрос и предпочтительность безмятежного исхода для каждого.</w:t>
      </w:r>
      <w:hyperlink w:anchor="Note4" w:history="1">
        <w:r>
          <w:rPr>
            <w:rStyle w:val="Hyperlink"/>
          </w:rPr>
          <w:t xml:space="preserve">[4]</w:t>
        </w:r>
      </w:hyperlink>
      <w:r>
        <w:rPr/>
        <w:t xml:space="preserve"> Выбор внутри предложенной группы оставляет открытым вопрос об основании её отбора.</w:t>
      </w:r>
    </w:p>
    <w:p>
      <w:pPr>
        <w:pStyle w:val="Normal"/>
      </w:pPr>
      <w:r>
        <w:rPr/>
        <w:t xml:space="preserve">В обучении можно получить множество хорошо рассчитанных путей к одной цели. Чтобы сравнить её с другой, придётся изменить сам вопрос к помощнику. Более точное исполнение прежнего поручения не совершает этого изменения за нас. Сильный ИИ может помочь и здесь: раскрыть критерий, показать, что изменится при другом основании, разобраться в цене нового пути. От него не требуется сначала ошибиться, чтобы вопрос о цели стал допустимым.</w:t>
      </w:r>
    </w:p>
    <w:p>
      <w:pPr>
        <w:pStyle w:val="Normal"/>
      </w:pPr>
      <w:r>
        <w:rPr/>
        <w:t xml:space="preserve">Отсюда иной предмет заботы. Помощь должна позволять человеку не только лучше действовать внутри предложенной цели, но и добраться до других целей. Это могут быть иная форма объяснения, другой наставник, знакомство с областью без обещания сделать её профессией. Иногда достаточно одного вопроса, который не помещается в текущий план.</w:t>
      </w:r>
    </w:p>
    <w:p>
      <w:pPr>
        <w:pStyle w:val="Normal"/>
      </w:pPr>
      <w:r>
        <w:rPr/>
        <w:t xml:space="preserve">У Пейперта и Харел есть точное ограничение педагогического притязания: пригодность способа обучения для некоторых ещё не означает, что он лучше для всех. Авторы связывают это различие с интеллектуальными предпочтениями.</w:t>
      </w:r>
      <w:hyperlink w:anchor="Note1" w:history="1">
        <w:r>
          <w:rPr>
            <w:rStyle w:val="Hyperlink"/>
          </w:rPr>
          <w:t xml:space="preserve">[1]</w:t>
        </w:r>
      </w:hyperlink>
      <w:r>
        <w:rPr/>
        <w:t xml:space="preserve"> Даже удачная инженерная школа не получает права определить единственную достойную форму становления. Работа над полезным предметом, фундаментальный разбор и долгое исследование без готового продукта могут требовать разных сред.</w:t>
      </w:r>
    </w:p>
    <w:p>
      <w:pPr>
        <w:pStyle w:val="Normal"/>
      </w:pPr>
      <w:r>
        <w:rPr/>
        <w:t xml:space="preserve">Мы поэтому не предлагаем найти совершенного наставника, у которого не будет собственной позиции. Он вправе рекомендовать, настаивать на понимании трудного места, показывать слабость выбора. Участник вправе надолго довериться ему. Важна возможность вернуться к основанию поручения: для чего сейчас нужна помощь и что произошло, когда сама цель изменилась.</w:t>
      </w:r>
    </w:p>
    <w:p>
      <w:pPr>
        <w:pStyle w:val="Normal"/>
      </w:pPr>
      <w:r>
        <w:rPr/>
        <w:t xml:space="preserve">Первоначальное согласие на подготовку к определённой работе не является бессрочным согласием на управление всем развитием. Но и ежедневное подозрение к каждой рекомендации не делает человека самостоятельнее. Отношение должно выдерживать и доверие, и содержательный пересмотр, не требуя постоянного непослушания для доказательства свободы.</w:t>
      </w:r>
    </w:p>
    <w:p>
      <w:pPr>
        <w:pStyle w:val="Normal"/>
      </w:pPr>
      <w:r>
        <w:rPr/>
        <w:t xml:space="preserve">Мы хотим оставить место и для перемены, возникшей благодаря удачному учению. Освоение измерения может сделать важным вопрос о самом методе, хотя сначала требовалось научиться получать готовый результат. Прежняя подготовка тогда открыла новую цель, а не потерпела неудачу. Другую задачу может первым предложить наставник. Чужое происхождение вопроса не мешает принять его с пониманием; чувство «я сам придумал» не заменяет способности объяснить свой выбор и позднее вернуться к его основаниям. Самостоятельность не требует очищать желание от всякого влияния.</w:t>
      </w:r>
    </w:p>
    <w:p>
      <w:pPr>
        <w:pStyle w:val="Normal"/>
      </w:pPr>
      <w:r>
        <w:rPr/>
        <w:t xml:space="preserve">Однако возможность выбрать ещё не объясняет, почему человек захочет долго заниматься трудным.</w:t>
      </w:r>
    </w:p>
    <w:p>
      <w:pPr>
        <w:pStyle w:val="Normal"/>
      </w:pPr>
      <w:r>
        <w:rPr/>
        <w:t xml:space="preserve">Готовый хороший результат и изменение самого действующего человека имеют разную ценность. Иногда нужен только результат: исправный прибор, точный перевод, снятая боль. Желание получить его быстрее не делает человека поверхностным. Но в другом случае существенна способность самому различить ошибку, поставить следующий опыт, помочь товарищу. При превосходящем помощнике эти две выгоды могут разойтись особенно далеко.</w:t>
      </w:r>
    </w:p>
    <w:p>
      <w:pPr>
        <w:pStyle w:val="Normal"/>
      </w:pPr>
      <w:r>
        <w:rPr/>
        <w:t xml:space="preserve">В четырёх коротких онлайн-экспериментах Суцин У и соавторов участие ИИ улучшало непосредственный письменный результат, но это преимущество не переносилось автоматически в последующее самостоятельное выполнение. Переживание контроля и мотивация тоже не повторяли траекторию качества текста. Результаты различались между экспериментами; исследование не устанавливает, что ИИ неизбежно лишает людей желания работать.</w:t>
      </w:r>
      <w:hyperlink w:anchor="Note3" w:history="1">
        <w:r>
          <w:rPr>
            <w:rStyle w:val="Hyperlink"/>
          </w:rPr>
          <w:t xml:space="preserve">[3]</w:t>
        </w:r>
      </w:hyperlink>
      <w:r>
        <w:rPr/>
        <w:t xml:space="preserve"> Оно показывает более узкую вещь: лучший продукт ещё не сообщает нам, что произошло с действующим человеком.</w:t>
      </w:r>
    </w:p>
    <w:p>
      <w:pPr>
        <w:pStyle w:val="Normal"/>
      </w:pPr>
      <w:r>
        <w:rPr/>
        <w:t xml:space="preserve">В испытательной работе это различие можно удержать без соревнования с машиной. Участник выбирает, какое расхождение проверить, сопоставляет измерение с предсказанием и меняет следующее действие. ИИ может видеть больше и объяснять быстрее. Приобретённая способность состоит в том, что человек теперь разбирает основание собственного решения, которого раньше принять не мог. Его успех не требует мирового рекорда.</w:t>
      </w:r>
    </w:p>
    <w:p>
      <w:pPr>
        <w:pStyle w:val="Normal"/>
      </w:pPr>
      <w:r>
        <w:rPr/>
        <w:t xml:space="preserve">Меняется и предмет признания. Если хвалить человека за текст или расчёт, фактически сделанный помощником, признание может стать ненадёжным, когда человек различает, кому принадлежит работа. Можно признавать точно установленный вклад — удачно поставленный вопрос, обнаруженный предел, принятую ответственность, помощь другому. Это не утешительный приз за отставание от машины. Такой вклад имеет значение для тех, кто пользуется общим результатом.</w:t>
      </w:r>
    </w:p>
    <w:p>
      <w:pPr>
        <w:pStyle w:val="Normal"/>
      </w:pPr>
      <w:r>
        <w:rPr/>
        <w:t xml:space="preserve">Останутся ли эти основания достаточно сильными на годы, мы пока не знаем. Совместное открытие, ощущение собственной действенности и признание могут поддерживать участие; у разных людей их вес различен. Проверять это следует по продолжению и изменению реальной работы, добровольным возвращениям и отказам, а не по придуманному внутреннему монологу ученика. Отказ не следует заранее объявлять следствием плохо устроенной среды: интерес может закончиться и в хороших условиях.</w:t>
      </w:r>
    </w:p>
    <w:p>
      <w:pPr>
        <w:pStyle w:val="Normal"/>
      </w:pPr>
      <w:r>
        <w:rPr/>
        <w:t xml:space="preserve">Здесь вновь расходятся два заказа. Покупателю может требоваться быстрый результат; участнику — время, чтобы стать способным на большее. Иногда они совпадут, иногда за второе придётся отдельно заплатить тому, кто его ценит. Наставник не устраняет этот выбор одним обещанием, что развитие однажды окупится.</w:t>
      </w:r>
    </w:p>
    <w:p>
      <w:pPr>
        <w:pStyle w:val="Normal"/>
      </w:pPr>
      <w:r>
        <w:rPr/>
        <w:t xml:space="preserve">Граница помощи особенно трудна, когда опасность реальна. В кейсе Егора Давыдова «Цена спасения» описан кризис компании наземного обслуживания: загрузка резко упала, около четырёх пятых расходов приходилось на оплату труда. Это сведения предоставленного описания, независимо не подтверждённые. Рассмотрим поставленную в нём управленческую дилемму.</w:t>
      </w:r>
      <w:hyperlink w:anchor="Note2" w:history="1">
        <w:r>
          <w:rPr>
            <w:rStyle w:val="Hyperlink"/>
          </w:rPr>
          <w:t xml:space="preserve">[2]</w:t>
        </w:r>
      </w:hyperlink>
    </w:p>
    <w:p>
      <w:pPr>
        <w:pStyle w:val="Normal"/>
      </w:pPr>
      <w:r>
        <w:rPr/>
        <w:t xml:space="preserve">Быстрое сокращение людей угрожало утратой способности обслуживать будущую работу. Переговоры могли привести к трудовому конфликту, получение денег требовало времени. Открытое решение не имело гарантированного успеха. Но в распоряжении руководства находился и другой инструмент: часть выплат зависела от общего объёма обработанного багажа, который отдельный работник не мог проверить.</w:t>
      </w:r>
    </w:p>
    <w:p>
      <w:pPr>
        <w:pStyle w:val="Normal"/>
      </w:pPr>
      <w:r>
        <w:rPr/>
        <w:t xml:space="preserve">Занижение этого показателя позволяло уменьшить оплату, не объявляя сотрудникам размер принятой за них потери. В описанном механизме менялась не открыто согласованная цена будущей работы, а информация об уже выполненной. Источник связывает выбор инструмента с необходимостью немедленно сократить расходы; он не устанавливает, что именно эта мера спасла компанию или была единственным осуществимым вариантом.</w:t>
      </w:r>
    </w:p>
    <w:p>
      <w:pPr>
        <w:pStyle w:val="Normal"/>
      </w:pPr>
      <w:r>
        <w:rPr/>
        <w:t xml:space="preserve">Работники в таком устройстве несут часть цены сохранения предприятия, не участвуя в определении этой цены. Так мы интерпретируем описанный механизм. Здесь соединяются две формы власти: распределить потери и определить сведения, по которым человек узнает о своей доле. Угроза делу могла быть серьёзной; она сама по себе не передавала руководителю неограниченных полномочий над обеими сторонами решения.</w:t>
      </w:r>
    </w:p>
    <w:p>
      <w:pPr>
        <w:pStyle w:val="Normal"/>
      </w:pPr>
      <w:r>
        <w:rPr/>
        <w:t xml:space="preserve">Теперь оставим обстоятельства кейса и усилим условие. Пусть более сильная система действительно знает, как сохранить предприятие, а раскрытие искажения исключено. Её решение даст обещанный полезный результат. Возникает ли у неё от этого право скрыто назначить цену, которую заплатят другие?</w:t>
      </w:r>
    </w:p>
    <w:p>
      <w:pPr>
        <w:pStyle w:val="Normal"/>
      </w:pPr>
      <w:r>
        <w:rPr/>
        <w:t xml:space="preserve">Расчёт полезности сам по себе таких полномочий не создаёт. Люди могли доверить системе управление расходами, не предоставляя права изменять сведения об уже выполненной работе. Срочное управление возможно в заранее согласованных пределах; оно не требует опроса всех по каждому действию. Но чрезвычайное положение не позволяет помогающему незаметно расширить поручение только потому, что он лучше понимает последствия.</w:t>
      </w:r>
    </w:p>
    <w:p>
      <w:pPr>
        <w:pStyle w:val="Normal"/>
      </w:pPr>
      <w:r>
        <w:rPr/>
        <w:t xml:space="preserve">Для развития человека это означает больше, чем доступ к хорошему объяснению. Помощник может безупречно разобрать расчёт по тем данным, которые ему открыли. Если исходные сведения контролирует единственный распорядитель, человек останется без возможности проверить основание. Дело не обязательно в недостатке его знаний. Нужны достоверные сведения и независимый способ их проверки.</w:t>
      </w:r>
    </w:p>
    <w:p>
      <w:pPr>
        <w:pStyle w:val="Normal"/>
      </w:pPr>
      <w:r>
        <w:rPr/>
        <w:t xml:space="preserve">Организация вправе оплачивать подготовку к определённой работе. Из этого не следует, что только полезное ей направление отвечает развитию участника. Отказ в другой пробе может быть вызван ограниченным бюджетом; его нельзя превращать в диагноз незрелого желания. Сильный ИИ способен и поддерживать эту подмену, и помогать её обнаружить — в зависимости от поручения и доступов. Образование должно дать человеку возможность разбирать, кому служит помощь и где заканчивается власть помогающего; ни этот кейс, ни хороший курс сами по себе такого результата не подтверждают.</w:t>
      </w:r>
    </w:p>
    <w:p>
      <w:pPr>
        <w:pStyle w:val="Normal"/>
      </w:pPr>
      <w:r>
        <w:rPr/>
        <w:t xml:space="preserve">Вернёмся теперь к наставнику из начала главы. Пусть все сведения верны, рекомендации полезны, а сильный ИИ точно различает способности и интересы человека. Организация открыто поручила ему искать продолжения, которые нужны ей. В пределах такого заказа он может найти очень хорошую работу и обеспечить глубокое обучение. Человек может вполне самостоятельно захотеть именно этого. Узость предложения сама по себе не делает его обманом.</w:t>
      </w:r>
    </w:p>
    <w:p>
      <w:pPr>
        <w:pStyle w:val="Normal"/>
      </w:pPr>
      <w:r>
        <w:rPr/>
        <w:t xml:space="preserve">Граница обнаружится, если критерий организации станет ответом на любой вопрос о будущем участника. Подготовка к нужной ей работе и поиск того, чему стоит посвятить жизнь, имеют разный предмет. Даже безошибочный ответ на первый вопрос ещё не отвечает на второй. Помощник способен честно назвать область своей рекомендации и помочь понять, какой другой вопрос остался без ответа.</w:t>
      </w:r>
    </w:p>
    <w:p>
      <w:pPr>
        <w:pStyle w:val="Normal"/>
      </w:pPr>
      <w:r>
        <w:rPr/>
        <w:t xml:space="preserve">Пересмотреть собственную цель можно, не получив права менять чужой заказ. Оплаченный организацией инструмент не обязан по одному желанию участника работать на другую программу; новое поручение потребует соответствующих полномочий и средств. Но отсутствие такого соглашения не обесценивает новый вопрос. Оно показывает, где предстоит искать иную договорённость или другую среду. Тогда материальный предел можно признать прямо, сохранив и достоинство желания, и право владельца определять назначение своего ресурса.</w:t>
      </w:r>
    </w:p>
    <w:p>
      <w:pPr>
        <w:pStyle w:val="Normal"/>
      </w:pPr>
      <w:r>
        <w:rPr/>
        <w:t xml:space="preserve">Самостоятельная проверка нужна и при смене образовательного пути. Каталога программ для перехода мало. Если прежние результаты нигде не признаются, смена направления становится возвратом к началу. Если вся история попыток доступна единственному распорядителю, другой наставник получает только выставленный им итог. Переносимые материалы, независимое суждение и время для пробы дают альтернативе содержание.</w:t>
      </w:r>
    </w:p>
    <w:p>
      <w:pPr>
        <w:pStyle w:val="Normal"/>
      </w:pPr>
      <w:r>
        <w:rPr/>
        <w:t xml:space="preserve">Не всё при этом должно находиться в одной организации. Иногда свободу обеспечивает переход между несколькими хорошими, но ограниченными средами. Одна отвечает за теорию, другая даёт доступ к исследованию, третья позволяет применить результат. Их различие полезно именно потому, что ни одна не охватывает человека полностью.</w:t>
      </w:r>
    </w:p>
    <w:p>
      <w:pPr>
        <w:pStyle w:val="Normal"/>
      </w:pPr>
      <w:r>
        <w:rPr/>
        <w:t xml:space="preserve">У такой возможности есть стоимость: время, поддержка, иногда отказ от ближайшего производственного результата. Но требовать заранее доказанную пользу незнакомого направления — значит разрешать исследовать только то, ценность чего уже установлена. Тот, кто выделяет средства на такую пробу, может заранее ограничить её размер и принять неопределённость результата. Обоснованный отказ от дальнейшей работы тогда способен исполнить договорённость не хуже удачного продолжения.</w:t>
      </w:r>
    </w:p>
    <w:p>
      <w:pPr>
        <w:pStyle w:val="Normal"/>
      </w:pPr>
      <w:r>
        <w:rPr/>
        <w:t xml:space="preserve">Человек может после неё остаться там, где начал. Возможно, первоначальная рекомендация была подходящей. Свобода не измеряется числом ушедших. Доступная альтернатива меняет и смысл решения остаться: теперь оно выдержало сравнение и может измениться по новому основанию.</w:t>
      </w:r>
    </w:p>
    <w:p>
      <w:pPr>
        <w:pStyle w:val="Normal"/>
      </w:pPr>
      <w:r>
        <w:rPr/>
        <w:t xml:space="preserve">Может сохраниться и постоянная потребность в помощи. Самостоятельность не требует однажды перестать нуждаться в людях и инструментах. При ограничениях здоровья, сложном предмете или выбранном способе работы поддержка может оставаться частью деятельности. Вопрос в том, имеет ли человек влияние на её условия и собственную роль. Норма обязательной полной независимости сама исключила бы многих из обещанного будущего.</w:t>
      </w:r>
    </w:p>
    <w:p>
      <w:pPr>
        <w:pStyle w:val="Normal"/>
      </w:pPr>
      <w:r>
        <w:rPr/>
        <w:t xml:space="preserve">Граница наставничества обнаруживается не в момент, когда ученик перестаёт слушаться. Она проходит там, где его новый вопрос признают достаточным основанием пересмотреть прежнее предложение. Наставник может возразить по существу. Может показать риск, ошибку или несостоятельность метода. Но сам факт иного направления не является дефектом развития.</w:t>
      </w:r>
    </w:p>
    <w:p>
      <w:pPr>
        <w:pStyle w:val="Normal"/>
      </w:pPr>
      <w:r>
        <w:rPr/>
        <w:t xml:space="preserve">Возможно, следующим выбором станет пауза. Ни другая профессия, ни ещё более сложный проект — просто прекращение этой последовательности. Чтобы такой ответ был возможен всерьёз, нужно разобраться с оставшимися обязательствами, обычными расходами жизни и условиями возвращения.</w:t>
      </w:r>
    </w:p>
    <w:p>
      <w:pPr>
        <w:pStyle w:val="Heading1"/>
      </w:pPr>
      <w:r>
        <w:rPr/>
        <w:t xml:space="preserve">Источники и примечания</w:t>
      </w:r>
    </w:p>
    <w:p>
      <w:pPr>
        <w:pStyle w:val="Note"/>
      </w:pPr>
      <w:bookmarkStart w:id="1" w:name="Note1"/>
      <w:r>
        <w:rPr/>
        <w:t xml:space="preserve">1. </w:t>
      </w:r>
      <w:r>
        <w:rPr/>
        <w:t xml:space="preserve">Seymour Papert, Idit Harel, </w:t>
      </w:r>
      <w:hyperlink w:history="1" r:id="link1">
        <w:r>
          <w:rPr>
            <w:i/>
            <w:rStyle w:val="Hyperlink"/>
          </w:rPr>
          <w:t xml:space="preserve">Situating Constructionism</w:t>
        </w:r>
      </w:hyperlink>
      <w:r>
        <w:rPr/>
        <w:t xml:space="preserve">, 1991, с.2: различение пригодности подхода для некоторых и для всех, обсуждение интеллектуальных предпочтений. Это позиция авторов, а не эмпирическое подтверждение предложенной здесь среды с сильным ИИ. Несущий фрагмент повторно сверен 7 сентября 2026 года; различие предпочтений не объявлено неизменными типами учащихся.</w:t>
      </w:r>
      <w:bookmarkEnd w:id="1"/>
    </w:p>
    <w:p>
      <w:pPr>
        <w:pStyle w:val="Note"/>
      </w:pPr>
      <w:bookmarkStart w:id="2" w:name="Note2"/>
      <w:r>
        <w:rPr/>
        <w:t xml:space="preserve">2. </w:t>
      </w:r>
      <w:r>
        <w:rPr/>
        <w:t xml:space="preserve">Егор Давыдов. </w:t>
      </w:r>
      <w:r>
        <w:rPr>
          <w:i/>
        </w:rPr>
        <w:t xml:space="preserve">Цена спасения. Кейс «Аэропорт»</w:t>
      </w:r>
      <w:r>
        <w:rPr/>
        <w:t xml:space="preserve">. Предоставленный пользователем PDF, 17 страниц; дата авторской редакции не установлена. Библиотека проекта: источник 50. PDF-с. 3–5: финансовое положение, доля оплаты труда, ограничения альтернатив и показатель объёма багажа; PDF-с. 9: различие условий оплаты и данных о выполненной работе; PDF-с. 15: постановка вопроса о цене для других. Авторство указано пользователем 6 сентября 2026 года; тогда же прочитан файл. 7 сентября 2026 года повторно проверены указанные PDF-с. 3–5, 9 и 15. Происхождение свидетельства и обстоятельства независимо не подтверждены. Число 80% относится только к компании в этом описании. Из него не следует доказанное спасение предприятия, неизбежность выбранного действия или общая характеристика аэропортовых сервисов. Воображаемый вечер, внутренние переживания и предположенный ответ ИИ не перенесены как факты. Условие гарантированного полезного результата без раскрытия — отдельный мысленный эксперимент книги, а не событие кейса.</w:t>
      </w:r>
      <w:bookmarkEnd w:id="2"/>
    </w:p>
    <w:p>
      <w:pPr>
        <w:pStyle w:val="Note"/>
      </w:pPr>
      <w:r>
        <w:rPr/>
        <w:t xml:space="preserve">Рассуждение о наставничестве описывает возможные отношения и нормативные границы. Оно не приписывает универсальных мотивов наставникам и не выдаёт предполагаемые переживания за наблюдения пилота.</w:t>
      </w:r>
    </w:p>
    <w:p>
      <w:pPr>
        <w:pStyle w:val="Note"/>
      </w:pPr>
      <w:bookmarkStart w:id="3" w:name="Note3"/>
      <w:r>
        <w:rPr/>
        <w:t xml:space="preserve">3. </w:t>
      </w:r>
      <w:r>
        <w:rPr/>
        <w:t xml:space="preserve">Suqing Wu, Yukun Liu, Mengqi Ruan, Siyu Chen, Xiao-Yun Xie. </w:t>
      </w:r>
      <w:hyperlink w:history="1" r:id="link2">
        <w:r>
          <w:rPr>
            <w:i/>
            <w:rStyle w:val="Hyperlink"/>
          </w:rPr>
          <w:t xml:space="preserve">Scientific Reports</w:t>
        </w:r>
      </w:hyperlink>
      <w:hyperlink w:history="1" r:id="link2">
        <w:r>
          <w:rPr>
            <w:rStyle w:val="Hyperlink"/>
          </w:rPr>
          <w:t xml:space="preserve">, 15, 15105</w:t>
        </w:r>
      </w:hyperlink>
      <w:r>
        <w:rPr/>
        <w:t xml:space="preserve">, 2025, четыре онлайн-эксперимента, всего 3562 участника. Рассматриваются краткие письменные задания и последующее выполнение без ИИ; это не длительное инженерное обучение. Результаты мотивации неоднородны: во втором исследовании соответствующее взаимодействие статистически незначимо; в четвёртом не все различия подтверждены. Вывод о неизбежной демотивации или об общем интеллекте, превосходящем человека, из этих данных не следует. 7 сентября 2026 года проверены обзор, выбранные результаты четырёх исследований и описание методов. Самооценка контроля и текстовые показатели не удостоверяют профессиональную способность или право выбирать цель; отсутствие значимого превосходства не доказывает отсутствия любого научения.</w:t>
      </w:r>
      <w:bookmarkEnd w:id="3"/>
    </w:p>
    <w:p>
      <w:pPr>
        <w:pStyle w:val="Note"/>
      </w:pPr>
      <w:bookmarkStart w:id="4" w:name="Note4"/>
      <w:r>
        <w:rPr/>
        <w:t xml:space="preserve">4. </w:t>
      </w:r>
      <w:r>
        <w:rPr/>
        <w:t xml:space="preserve">Станислав Лем. </w:t>
      </w:r>
      <w:r>
        <w:rPr>
          <w:i/>
        </w:rPr>
        <w:t xml:space="preserve">Сумма технологии</w:t>
      </w:r>
      <w:r>
        <w:rPr/>
        <w:t xml:space="preserve">, предоставленное русское издание 2018 года, гл. VIII, «Автоэволюционная машина», PDF-с. 757–759. Использованы рассуждения о расширении круга поиска, выборе внутри отобранной группы и возможном превращении машинной рекомендации в культурную норму. Приведённые там сведения о службах подбора партнёров не используются как проверенный эффект; редакторское примечание 255 само обсуждает пределы такого заключения. Перенос вопроса на обучение — рассуждение этой книги. Весь указанный фрагмент с примечанием повторно прочитан 7 сентября 2026 года.</w:t>
      </w:r>
      <w:bookmarkEnd w:id="4"/>
    </w:p>
    <w:p>
      <w:pPr>
        <w:pStyle w:val="Note"/>
      </w:pPr>
      <w:bookmarkStart w:id="5" w:name="Note5"/>
      <w:r>
        <w:rPr/>
        <w:t xml:space="preserve">5. </w:t>
      </w:r>
      <w:r>
        <w:rPr/>
        <w:t xml:space="preserve">Константин Феоктистов. </w:t>
      </w:r>
      <w:r>
        <w:rPr>
          <w:i/>
        </w:rPr>
        <w:t xml:space="preserve">Траектория жизни</w:t>
      </w:r>
      <w:r>
        <w:rPr/>
        <w:t xml:space="preserve">, глава «Дорога длиною в тридцать лет», предоставленная HTML-версия: фрагменты от «13 июня 1949 года состоялась защита диплома» через распределение до полного абзаца о наладке сварочного оборудования, начинающегося «Назначили меня инженером КБ». Проверены 7 сентября 2026 года вместе с предшествующим рассказом о выборе кафедры и дипломной темы. Это ретроспективное свидетельство и оценка автора, не независимая проверка его биографии. В окружающем тексте названы и личные причины нежелания уезжать из Москвы; весь выбор не сводится к одной профессиональной цели. Из этого фрагмента не выводится ни бесполезность работы, ни неправомерность интереса организации.</w:t>
      </w:r>
      <w:bookmarkEnd w:id="5"/>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pirun.ku.ac.th/~btun/papert/sitcons.pdf" TargetMode="External" /><Relationship Id="link2" Type="http://schemas.openxmlformats.org/officeDocument/2006/relationships/hyperlink" Target="https://www.nature.com/articles/s41598-025-98385-2" TargetMode="External" /></Relationships>
</file>