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11. Кто оплачивает право пробовать</w:t>
      </w:r>
    </w:p>
    <w:p>
      <w:pPr>
        <w:pStyle w:val="Subtitle"/>
      </w:pPr>
      <w:r>
        <w:rPr/>
        <w:t xml:space="preserve">Право на решение · версия 6.0</w:t>
      </w:r>
    </w:p>
    <w:p>
      <w:pPr>
        <w:pStyle w:val="Normal"/>
      </w:pPr>
      <w:r>
        <w:rPr/>
        <w:t xml:space="preserve">Заказчик может оплатить обучение, если благодаря ему получит нужный результат. Сотрудники лучше понимают требования, меньше времени тратят на исправления, способны принять следующую работу. Такое совпадение интересов не следует отвергать. Если сильный ИИ делает хорошую помощь дешёвой, развитие может стать доступнее даже в организации, которая заботится прежде всего о поставке.</w:t>
      </w:r>
    </w:p>
    <w:p>
      <w:pPr>
        <w:pStyle w:val="Normal"/>
      </w:pPr>
      <w:r>
        <w:rPr/>
        <w:t xml:space="preserve">Но наш главный вопрос возник там, где это совпадение больше не обязательно. Пусть ИИ обеспечивает продукт без подготовки новых самостоятельных участников. Зачем покупателю платить ещё и за их становление? Особенно если приобретённая способность пригодится другой организации, а новый коллектив станет конкурентом того, кто оплатил первые шаги.</w:t>
      </w:r>
    </w:p>
    <w:p>
      <w:pPr>
        <w:pStyle w:val="Normal"/>
      </w:pPr>
      <w:r>
        <w:rPr/>
        <w:t xml:space="preserve">Ответить общим призывом к дальновидности недостаточно. У заказчика есть собственные обязательства. Он может обоснованно предпочесть дешёвую надёжную поставку образовательной программе, которую не выбирал. В нашем космическом сценарии условный внешний оператор располагает средствами на необходимую ему воду. Из этого не следует, что он располагает средствами на любую желательную нам форму человеческого участия.</w:t>
      </w:r>
    </w:p>
    <w:p>
      <w:pPr>
        <w:pStyle w:val="Normal"/>
      </w:pPr>
      <w:r>
        <w:rPr/>
        <w:t xml:space="preserve">Следовательно, сначала надо различить то, что мы собираемся оплачивать. Принятую поставку. Устранение определённого технического неизвестного. Способность человека продолжать работу за пределами одного заказа. Возможность следующего коллектива войти в деятельность. Эти результаты могут возникать вместе, но не обязаны иметь одного покупателя и одно основание цены.</w:t>
      </w:r>
    </w:p>
    <w:p>
      <w:pPr>
        <w:pStyle w:val="Normal"/>
      </w:pPr>
      <w:r>
        <w:rPr/>
        <w:t xml:space="preserve">Можно поручить всё государству или благотворительному фонду. Тогда непосредственное возражение заказчика исчезнет: подготовку оплатит другая сторона. Однако средства нового плательщика также ограничены. Их нельзя одновременно направить на все исследования, образовательные пути, услуги и помощь людям. У общественной поддержки появится собственный вопрос: почему оплачивать именно эту пробу, в таком объёме и на таких условиях? Смена плательщика не устраняет цену выбора.</w:t>
      </w:r>
    </w:p>
    <w:p>
      <w:pPr>
        <w:pStyle w:val="Normal"/>
      </w:pPr>
      <w:r>
        <w:rPr/>
        <w:t xml:space="preserve">Есть более определённый способ начать. Сначала назвать ближайшее неизвестное, ради устранения которого стороны готовы принять ограниченные обязательства. Затем установить, что можно сделать имеющимися средствами и какую потерю они способны понести, если замысел не подтвердится. Полное предприятие не возникает из такого шага. Зато его будущая стоимость перестаёт быть единственным ответом на вопрос о цене начала.</w:t>
      </w:r>
    </w:p>
    <w:p>
      <w:pPr>
        <w:pStyle w:val="Normal"/>
      </w:pPr>
      <w:r>
        <w:rPr/>
        <w:t xml:space="preserve">Сарас Сарасвати описывает родственную логику предпринимательской деятельности: движение от доступных способностей, знаний и связей к уточняющимся целям, ограничение допустимой потери и ранние обязательства партнёров. Она различает её с движением к заранее заданному результату, не запрещая одному человеку использовать оба способа в разных обстоятельствах.[1] Для нас полезен переход от обещания профинансировать готовое видение целиком к договорённости о том, что стороны действительно готовы сделать сейчас.</w:t>
      </w:r>
    </w:p>
    <w:p>
      <w:pPr>
        <w:pStyle w:val="Normal"/>
      </w:pPr>
      <w:r>
        <w:rPr/>
        <w:t xml:space="preserve">Однако предел переноса здесь не менее важен. Дорогую необратимую миссию нельзя обосновать тем, что несколько участников согласились потерять деньги. Есть физические требования, обязательства и последствия для других. Предпринимательская готовность действовать не заменяет инженерную проверку. Кроме того, доступные средства распределены неравно: начать со своих связей легче тому, у кого они уже есть. Принцип доступной потери ещё не создаёт право пробовать для человека, которому нечем рисковать без ущерба для необходимой жизни.</w:t>
      </w:r>
    </w:p>
    <w:p>
      <w:pPr>
        <w:pStyle w:val="Normal"/>
      </w:pPr>
      <w:r>
        <w:rPr/>
        <w:t xml:space="preserve">В следующем предложенном заказе воды первое исследование должно установить, достаточны ли прежние основания для более строгого предела примеси. Если вопрос можно решить разбором существующих данных, нет причины начинать с финансирования новой добывающей системы. Если понадобятся испытания, придётся определить их состав, цену и безопасные условия. Если всё это не помещается в имеющиеся средства, заказ можно пересмотреть или отклонить. Ранний шаг должен уменьшать существенную неизвестность, а не просто быть достаточно маленьким, чтобы его удалось оплатить.</w:t>
      </w:r>
    </w:p>
    <w:p>
      <w:pPr>
        <w:pStyle w:val="Normal"/>
      </w:pPr>
      <w:r>
        <w:rPr/>
        <w:t xml:space="preserve">Теперь вокруг него можно искать рабочее совпадение интересов. Покупателю может быть полезно узнать, достижимо ли новое требование на предлагаемых условиях. Производственной организации — проверить возможность следующей поставки. Исследовательской стороне — получить надёжное знание о границах метода. Образовательной — обеспечить участникам переход к самостоятельному обоснованию проверки. У каждого предмета есть получатель и предел обязательства. Пока стороны их не приняли, перед нами возможная коалиция, а не уже собранный бюджет.</w:t>
      </w:r>
    </w:p>
    <w:p>
      <w:pPr>
        <w:pStyle w:val="Normal"/>
      </w:pPr>
      <w:r>
        <w:rPr/>
        <w:t xml:space="preserve">Совместная оплата требует прозрачности. Один и тот же расход нельзя одновременно считать полностью возмещённым заказчиком и общественной программой. Если испытание необходимо для поставки и одновременно помогает обучению, можно договориться, как распределяется его цена. Но сама полезность для двух сторон не создаёт двух независимых ресурсов. Отдельно нужно видеть, сколько стоит учебное сопровождение, дополнительное время на теорию, повторная проба и проверка приобретённого. Именно здесь часто находится разница между выполнением заказа и обещанным развитием.</w:t>
      </w:r>
    </w:p>
    <w:p>
      <w:pPr>
        <w:pStyle w:val="Normal"/>
      </w:pPr>
      <w:r>
        <w:rPr/>
        <w:t xml:space="preserve">Участник тоже отдаёт ресурс: время, внимание, возможность заняться другой оплачиваемой работой. Даже добровольное согласие не делает этот ресурс бесплатным для оценки устройства. Если путь доступен только при семейном резерве или длительной работе без вознаграждения, он имеет определённую социальную границу. Её следует назвать. Общественная программа, обещающая открытый вход, должна отдельно решить, как оплачиваются необходимые расходы участия и что защищает человека при прекращении исследования.</w:t>
      </w:r>
    </w:p>
    <w:p>
      <w:pPr>
        <w:pStyle w:val="Normal"/>
      </w:pPr>
      <w:r>
        <w:rPr/>
        <w:t xml:space="preserve">При этом материальная поддержка и финансирование любого выбранного проекта — разные обязательства. Можно защищать жильё, лечение и повседневную жизнь человека и отказать в оплате следующей серии опытов. Такой отказ нуждается в основаниях, если речь идёт об общей программе, но не является лишением достоинства. И наоборот: крупный бюджет исследования не компенсирует условия, при которых выход из него оставляет участника без средств к существованию. Проектное право должно опираться на возможность отказаться от проекта.</w:t>
      </w:r>
    </w:p>
    <w:p>
      <w:pPr>
        <w:pStyle w:val="Normal"/>
      </w:pPr>
      <w:r>
        <w:rPr/>
        <w:t xml:space="preserve">Часть переносимых способностей может оплачиваться совместной или публичной программой именно потому, что выгода не возвращается одному заказчику. Тогда предмет поддержки нужно назвать прямо: доступ к теории и испытанию, становление следующего самостоятельного коллектива, сохранение возможности исследовать незапланированный вопрос. Нет необходимости обещать, что каждый такой расход вернётся коммерческой прибылью. Но потребуется показать, что оплаченный путь существует и доступен людям вне первоначального круга.</w:t>
      </w:r>
    </w:p>
    <w:p>
      <w:pPr>
        <w:pStyle w:val="Normal"/>
      </w:pPr>
      <w:r>
        <w:rPr/>
        <w:t xml:space="preserve">Иначе образовательная субсидия способна превратиться в способ удешевить труд для одной организации. Программа оплачивает подготовку, предприятие получает производительность, а участник не получает переносимых результатов и доступа к следующей работе. Это возможный исход, который нельзя спрятать за числом выданных свидетельств. Условия поддержки должны связывать деньги с действительным предметом: например, с оговорённым временем самостоятельной пробы, пригодными для продолжения материалами и понятными правами выхода. Они не требуют от предприятия финансировать всё будущее человека; они требуют исполнить то, за что ему предоставлена поддержка.</w:t>
      </w:r>
    </w:p>
    <w:p>
      <w:pPr>
        <w:pStyle w:val="Normal"/>
      </w:pPr>
      <w:r>
        <w:rPr/>
        <w:t xml:space="preserve">Для первого предприятия потребуется иной разговор о деньгах. Если команда намерена продавать воду, ей предстоит подтвердить цену полной поставки, основание спроса и способ возврата вложений. Условный успех прежнего предприятия не означает, что второй участник унаследует ту же экономику. Он может покупать услуги дороже или, напротив, предложить способ с меньшими затратами. Это надо выяснить до того, как образовательный результат начнут предъявлять инвестору как доказательство прибыльности.</w:t>
      </w:r>
    </w:p>
    <w:p>
      <w:pPr>
        <w:pStyle w:val="Normal"/>
      </w:pPr>
      <w:r>
        <w:rPr/>
        <w:t xml:space="preserve">Расширение предложения также меняет вопрос о доходе. Если вода становится доступнее и цена падает, нельзя одновременно считать новый объём почти неограниченным и сохранять прежнюю выручку на единицу. Придётся пересмотреть расходы, загрузку и возврат капитала. Для покупателя снижение цены может быть выигрышем, для прежнего поставщика — потерей части дохода. Общество не обязано считать сохранение этой доходности единственной целью, но цена перехода не исчезает от того, что конечный продукт подешевел.</w:t>
      </w:r>
    </w:p>
    <w:p>
      <w:pPr>
        <w:pStyle w:val="Normal"/>
      </w:pPr>
      <w:r>
        <w:rPr/>
        <w:t xml:space="preserve">Это условная проверка будущего решения, а не отмена допущенного ранее успеха. Первая поставка остаётся принятой. Следующая деятельность получает собственное экономическое основание. Если основания нет, развитие участников можно признать, а инвестицию в товарное производство не делать. Смешав два решения, мы либо заставим образовательную программу обещать чужую прибыль, либо станем оправдывать несостоятельное предприятие тем, что люди в нём учатся.</w:t>
      </w:r>
    </w:p>
    <w:p>
      <w:pPr>
        <w:pStyle w:val="Normal"/>
      </w:pPr>
      <w:r>
        <w:rPr/>
        <w:t xml:space="preserve">Можно устроить фонд, который получает часть успешных результатов и оплачивает следующие попытки. Такая форма заслуживает рассмотрения, но слово «фонд» ещё ничего не финансирует. Нужны первоначальные средства, правило расходования, допустимый объём неудач и источник пополнения. Доходы могут оказаться позже, чем потребность платить, или не возникнуть вовсе. Расходование капитала допустимо как принятое решение; его нельзя назвать устойчивым воспроизводством, если никто не объяснил, чем будет оплачен следующий круг.</w:t>
      </w:r>
    </w:p>
    <w:p>
      <w:pPr>
        <w:pStyle w:val="Normal"/>
      </w:pPr>
      <w:r>
        <w:rPr/>
        <w:t xml:space="preserve">Не менее важны полномочия плательщика. Он вправе установить предмет поддержки, объём и условия продолжения. Но если уже оплаченная самостоятельная программа теряет средства всякий раз, когда её вывод не нравится основателю, финансирование остаётся личным разрешением. Следующий транш может потребовать нового основания. Уже принятые права и обязательства не должны незаметно превращаться в награду за согласие.</w:t>
      </w:r>
    </w:p>
    <w:p>
      <w:pPr>
        <w:pStyle w:val="Normal"/>
      </w:pPr>
      <w:r>
        <w:rPr/>
        <w:t xml:space="preserve">Несколько источников средств способны уменьшить такую зависимость. Однако три названия программ могут скрывать один центр, который принимает все решения. Проверять придётся не число логотипов, а возможность обратиться на другом основании, перенести допустимые результаты и продолжить после содержательного отказа. Внешняя поддержка не делает коллектив несамостоятельным сама по себе. Зависимость становится определяющей там, где вместе с прекращением одной выплаты исчезает практически всякая возможность искать другой путь.</w:t>
      </w:r>
    </w:p>
    <w:p>
      <w:pPr>
        <w:pStyle w:val="Normal"/>
      </w:pPr>
      <w:r>
        <w:rPr/>
        <w:t xml:space="preserve">Цена этого устройства будет отличаться в разных условиях. Дешёвая помощь ИИ может сократить затраты начальной пробы и открыть вход тем, кому прежде требовалась большая команда. Автоматизация той же работы может уменьшить интерес предприятия к подготовке людей, если следующая поставка обходится без них. Наше предложение должно проверяться при обоих исходах. Нельзя выбрать удобную экономику ИИ для расчёта расходов и противоположную — для обоснования необходимости человека.</w:t>
      </w:r>
    </w:p>
    <w:p>
      <w:pPr>
        <w:pStyle w:val="Normal"/>
      </w:pPr>
      <w:r>
        <w:rPr/>
        <w:t xml:space="preserve">Мы теперь можем назвать, что должно быть оплачено, кто способен увидеть в этом собственный предмет и при каких условиях движение следует остановить. Но деньги всё равно достанутся не всем. Даже добросовестно устроенная программа будет отклонять содержательные замыслы, распределять ограниченное время и выбирать между несогласными участниками.</w:t>
      </w:r>
    </w:p>
    <w:p>
      <w:pPr>
        <w:pStyle w:val="Normal"/>
      </w:pPr>
      <w:r>
        <w:rPr/>
        <w:t xml:space="preserve">Значит, следующий вопрос относится к власти того, кто выбирает. Как сделать этот выбор ответственным и вместе с тем доступным изменению — в том числе теми, чьи предложения он не поддержал?</w:t>
      </w:r>
    </w:p>
    <w:p>
      <w:pPr>
        <w:pStyle w:val="Heading1"/>
      </w:pPr>
      <w:r>
        <w:rPr/>
        <w:t xml:space="preserve">Источники и примечания</w:t>
      </w:r>
    </w:p>
    <w:p>
      <w:pPr>
        <w:pStyle w:val="Normal"/>
        <w:ind w:left="360" w:hanging="360"/>
      </w:pPr>
      <w:r>
        <w:rPr/>
        <w:t xml:space="preserve">1. </w:t>
      </w:r>
      <w:r>
        <w:rPr/>
        <w:t xml:space="preserve">Saras D. Sarasvathy, </w:t>
      </w:r>
      <w:hyperlink w:history="1" r:id="link1">
        <w:r>
          <w:rPr>
            <w:i/>
            <w:rStyle w:val="Hyperlink"/>
          </w:rPr>
          <w:t xml:space="preserve">What makes entrepreneurs entrepreneurial?</w:t>
        </w:r>
      </w:hyperlink>
      <w:r>
        <w:rPr/>
        <w:t xml:space="preserve">, с.2–3, разделы о различии способов рассуждения и исходных средствах; с.5–6, </w:t>
      </w:r>
      <w:r>
        <w:rPr>
          <w:i/>
        </w:rPr>
        <w:t xml:space="preserve">The affordable loss principle</w:t>
      </w:r>
      <w:r>
        <w:rPr/>
        <w:t xml:space="preserve"> и </w:t>
      </w:r>
      <w:r>
        <w:rPr>
          <w:i/>
        </w:rPr>
        <w:t xml:space="preserve">The strategic partnerships principle</w:t>
      </w:r>
      <w:r>
        <w:rPr/>
        <w:t xml:space="preserve">. Используется авторская модель начала деятельности и ограниченных обязательств. Она не доказывает универсальной эффективности такого подхода, доступности капитала для всех или допустимости космической миссии без самостоятельной инженерной проверки.</w:t>
      </w:r>
    </w:p>
    <w:p>
      <w:pPr>
        <w:pStyle w:val="Normal"/>
      </w:pPr>
      <w:r>
        <w:rPr/>
        <w:t xml:space="preserve">Финансирование, изменение цены и распределение расходов в этой главе рассматриваются как условия проектных вариантов. Реальные фонды, инвестиционные обязательства и результаты их работы не объявлены существующими.</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effectuation.org/hubfs/Public%20Documents%20For%20Site/what-makes-entrepreneurs-entrepreneurial-sarasvathy.pdf?hsLang=en" TargetMode="External" /></Relationships>
</file>