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12. Кто может изменить правила</w:t>
      </w:r>
    </w:p>
    <w:p>
      <w:pPr>
        <w:pStyle w:val="Subtitle"/>
      </w:pPr>
      <w:r>
        <w:rPr/>
        <w:t xml:space="preserve">Право на решение · версия 6.0</w:t>
      </w:r>
    </w:p>
    <w:p>
      <w:pPr>
        <w:pStyle w:val="Normal"/>
      </w:pPr>
      <w:r>
        <w:rPr/>
        <w:t xml:space="preserve">Отказ может быть совершенно правильным — и обнаруживать непригодность самого правила.</w:t>
      </w:r>
    </w:p>
    <w:p>
      <w:pPr>
        <w:pStyle w:val="Normal"/>
      </w:pPr>
      <w:r>
        <w:rPr/>
        <w:t xml:space="preserve">Представим, что ещё не обещанное время приёмного узла распределяется с учётом объёма прежних подтверждённых поставок. Для оператора это разумное основание: опыт снижает часть неизвестности, а надёжное продолжение важнее красивого обещания. Новая команда проигрывает отбор. Ей подробно объясняют расчёт, независимая проверка подтверждает его, ошибки не было.</w:t>
      </w:r>
    </w:p>
    <w:p>
      <w:pPr>
        <w:pStyle w:val="Normal"/>
      </w:pPr>
      <w:r>
        <w:rPr/>
        <w:t xml:space="preserve">Но чтобы получить подтверждённую поставку, нужно пройти через узел. Если прежний объём неизменно определяет доступ ко всему будущему времени, у новой команды никогда не появится требуемое основание. Прозрачность позволит ей лучше понять, почему она останется снаружи. Правильно устроенное обжалование конкретного решения ещё не даст возможности изменить порядок, который производит такие решения.</w:t>
      </w:r>
    </w:p>
    <w:p>
      <w:pPr>
        <w:pStyle w:val="Normal"/>
      </w:pPr>
      <w:r>
        <w:rPr/>
        <w:t xml:space="preserve">Это проектный пример внутри нашей ветви внешнего доступа, а не ещё одно событие космической промышленности. Прежние договоры, требования к воде, безопасность и конечность мощности сохраняются. Меняется предмет рассуждения. Мы выясняем, кто вправе поставить вопрос о распределении будущих возможностей.</w:t>
      </w:r>
    </w:p>
    <w:p>
      <w:pPr>
        <w:pStyle w:val="Normal"/>
      </w:pPr>
      <w:r>
        <w:rPr/>
        <w:t xml:space="preserve">Самый понятный ответ — передать выбор пользователям. Они знают свою работу, оплачивают инфраструктуру и несут последствия решений. Но нынешние пользователи могут единогласно предпочесть правило, которое закрепляет все будущие места за ними. Совместное управление будет реальным, взаимная ответственность — высокой, оборудование — исправным. Доступ следующих участников останется закрытым. Общий голос существующего коллектива не становится автоматически голосом всех затронутых.</w:t>
      </w:r>
    </w:p>
    <w:p>
      <w:pPr>
        <w:pStyle w:val="Normal"/>
      </w:pPr>
      <w:r>
        <w:rPr/>
        <w:t xml:space="preserve">Назначить внешнего распорядителя тоже недостаточно. Он может защищать новый вход, а может плохо понимать цену нарушения работы. Если решение об ограниченном ресурсе принимается далеко от тех, кто отвечает за его состояние, обещанная открытость способна расходовать чужую надёжность. Поэтому нам предстоит разделить несколько полномочий, которые слишком легко соединить в одном слове «управление».</w:t>
      </w:r>
    </w:p>
    <w:p>
      <w:pPr>
        <w:pStyle w:val="Normal"/>
      </w:pPr>
      <w:r>
        <w:rPr/>
        <w:t xml:space="preserve">Оператору необходимо право безопасно выполнять и останавливать конкретную операцию. Независимому разбору — проверять, правильно ли применены согласованные условия. Тем, чьи возможности определяет порядок доступа, — участвовать в обсуждении его изменения. Эти функции связаны, но не заменяют друг друга. Нельзя разрешить опасную передачу голосованием; нельзя на основании технической ответственности навсегда закрепить за оператором выбор всех допустимых общественных целей.</w:t>
      </w:r>
    </w:p>
    <w:p>
      <w:pPr>
        <w:pStyle w:val="Normal"/>
      </w:pPr>
      <w:r>
        <w:rPr/>
        <w:t xml:space="preserve">Исследование Элинор Остром помогает удержать именно разнообразие устройства. В переработанном черновике Нобелевской лекции она объясняет, что одинаковые конкретные правила не обнаруживались во всех успешных случаях управления общими ресурсами. Более общие характеристики включали участие затронутых пользователей в изменении правил, подотчётное наблюдение и доступные способы разрешения конфликтов.[1] Это основание исследовать сочетание полномочий и условий, а не искать одно волшебное название формы собственности.</w:t>
      </w:r>
    </w:p>
    <w:p>
      <w:pPr>
        <w:pStyle w:val="Normal"/>
      </w:pPr>
      <w:r>
        <w:rPr/>
        <w:t xml:space="preserve">Космический узел не был предметом этого исследования. Перенос остаётся нашим предложением. Более того, недостаточно хорошо устроить отношения нынешних пользователей. Для нашей задачи специально важны люди, которые ещё не получили доступ. Их отсутствие внутри работающего соглашения нельзя считать достаточным основанием отсутствия интереса.</w:t>
      </w:r>
    </w:p>
    <w:p>
      <w:pPr>
        <w:pStyle w:val="Normal"/>
      </w:pPr>
      <w:r>
        <w:rPr/>
        <w:t xml:space="preserve">Возможное изменение правила должно начать с признания обеих сторон. Старые поставщики не обязаны уступать уже обещанные окна. Новые не могут подтвердить опыт, если им не предоставлено ни одной безопасной возможности его приобрести. Поэтому речь может идти об определённой доле будущей мощности для проверки внешних предложений. Она не появляется бесплатно. Потребуются средства на подготовку, время оператора и проверяющего, а также согласие принять меньший объём иных полезных работ.</w:t>
      </w:r>
    </w:p>
    <w:p>
      <w:pPr>
        <w:pStyle w:val="Normal"/>
      </w:pPr>
      <w:r>
        <w:rPr/>
        <w:t xml:space="preserve">Нельзя назначить размер этой доли красивым круглым числом. Он зависит от оборудования, цены проверок и обязательств системы. Возможно, достаточной возможности не удастся создать без расширения мощности. Возможно, более дешёвый путь найдётся через другой вид испытания или другой узел. Предмет решения — обеспечить достижимую проверку новой команды при сохранении профессиональных требований, а не обязательно провести её через выбранный нами объект.</w:t>
      </w:r>
    </w:p>
    <w:p>
      <w:pPr>
        <w:pStyle w:val="Normal"/>
      </w:pPr>
      <w:r>
        <w:rPr/>
        <w:t xml:space="preserve">Теперь у изменения есть возможные сторонники. Внешним командам нужен вход, покупателю — дополнительный поставщик, оператору может быть полезна будущая загрузка, общей программе — воспроизводство самостоятельной деятельности. Сопротивление тоже имеет основание: действующие участники опасаются меньшей доступности оборудования и расходов, плоды которых получит другой коллектив. Устройство сможет возникнуть, если кто-то примет эту цену и обязательства будут достаточно определёнными. Общее благо не подписывает договор вместо сторон.</w:t>
      </w:r>
    </w:p>
    <w:p>
      <w:pPr>
        <w:pStyle w:val="Normal"/>
      </w:pPr>
      <w:r>
        <w:rPr/>
        <w:t xml:space="preserve">При таком подходе жалоба на отказ и предложение изменить правило получают разные пути. Жалоба показывает, что действующее условие применено неверно или что решение не имеет достаточного основания. Предложение пересмотра может признавать отказ правильным и всё же показывать недопустимое следствие порядка. Если второе требовать оформлять только как первое, человеку придётся доказывать ошибку там, где её нет. В результате правильность отдельных решений станет защитой от обсуждения общего устройства.</w:t>
      </w:r>
    </w:p>
    <w:p>
      <w:pPr>
        <w:pStyle w:val="Normal"/>
      </w:pPr>
      <w:r>
        <w:rPr/>
        <w:t xml:space="preserve">Пересмотр, в свою очередь, не должен отменять вчерашние обязательства всякий раз, когда появилось убедительное предложение. Иначе инвестировать в инфраструктуру и планировать работу будет трудно. Новое правило можно применять к ещё не распределённому ресурсу, задавать ограниченный срок проверки, учитывать расходы перехода и заранее описывать, что произойдёт с уже начатой работой. Стабильность нужна для действия. Она не требует бессрочности каждого решения, однажды принятого первоначальным кругом.</w:t>
      </w:r>
    </w:p>
    <w:p>
      <w:pPr>
        <w:pStyle w:val="Normal"/>
      </w:pPr>
      <w:r>
        <w:rPr/>
        <w:t xml:space="preserve">Кто будет представлять тех, кто находится снаружи? Универсальной процедуры здесь нет. В ограниченной программе можно предусмотреть участие внешних команд и представителя интересов будущего входа, отдельную оценку возникающих барьеров и публичное основание распределения общей поддержки. Но представительство нужно проверять по полномочиям: может ли оно поставить вопрос, получить необходимые сведения и добиться рассмотрения, или лишь присутствует при чужом выборе? Назначенный защитник входа также способен стать новым посредником. Его собственная работа должна допускать оценку и замену.</w:t>
      </w:r>
    </w:p>
    <w:p>
      <w:pPr>
        <w:pStyle w:val="Normal"/>
      </w:pPr>
      <w:r>
        <w:rPr/>
        <w:t xml:space="preserve">Не менее существенно, кому доступна повестка. Подготовить предложение об изменении нормы иногда труднее, чем заполнить заявку. Нужны сведения о фактической загрузке, затратах и основаниях отказов. Часть информации закрыта законными интересами партнёров; её нельзя просто опубликовать целиком. Но должен существовать способ проверить общественно значимое основание с сохранением необходимых ограничений. Иначе конфиденциальность любой детали позволит сделать непроверяемым весь порядок.</w:t>
      </w:r>
    </w:p>
    <w:p>
      <w:pPr>
        <w:pStyle w:val="Normal"/>
      </w:pPr>
      <w:r>
        <w:rPr/>
        <w:t xml:space="preserve">Образование входит в эту конструкцию через способность понимать и изменять её. Участник учится отличать техническое ограничение от принятого правила распределения, читать основания отказа, оценивать цену своего предложения и искать тех, кому оно даёт основание сотрудничать. Это деятельность с реальным последствием: измениться может область доступных действий. Если учить лишь удачно оформлять заявления по неизменному порядку, мы подготовим хорошего пользователя процедуры, но оставим её устройство вне его возможностей.</w:t>
      </w:r>
    </w:p>
    <w:p>
      <w:pPr>
        <w:pStyle w:val="Normal"/>
      </w:pPr>
      <w:r>
        <w:rPr/>
        <w:t xml:space="preserve">Здесь нельзя вводить обратный ценз. Право возражать против общего решения не выдаётся за успешное прохождение курса. Более подготовленный человек может лучше объяснить техническую сторону, однако посторонние сохраняют право говорить о риске для них, цене и назначении общей поддержки. Нехватка знания означает необходимость помощи и точного разграничения вопросов, а не потерю голоса. В следующей главе мы подробнее рассмотрим, какие профессиональные полномочия действительно требуют показанной способности.</w:t>
      </w:r>
    </w:p>
    <w:p>
      <w:pPr>
        <w:pStyle w:val="Normal"/>
      </w:pPr>
      <w:r>
        <w:rPr/>
        <w:t xml:space="preserve">Доступный ИИ может удешевить содержательное участие: сопоставить проекты правил, показать несовпадение интересов, помочь разобраться в последствиях. Но если он оценивает все предложения по скрытой неизменяемой цели, его точность только укрепит закрытость выбора. Поэтому важно, кто задаёт предмет сравнения и может потребовать другого. Лучшее решение при принятой цели не разрешает вопрос, какую цель следует принять.</w:t>
      </w:r>
    </w:p>
    <w:p>
      <w:pPr>
        <w:pStyle w:val="Normal"/>
      </w:pPr>
      <w:r>
        <w:rPr/>
        <w:t xml:space="preserve">Можно надолго поручить системе отбор в определённых пределах. Не каждый участник хочет непрерывно читать документы и заседать. Делегирование позволяет сохранить время для другой жизни и совместимо с авторством, если область поручения понятна, результаты проверяемы, а полномочия можно пересмотреть. Участие не должно превращаться в ежедневный экзамен на гражданскую добродетель. Представительство и помощь нужны в том числе тем, кто не может или не хочет постоянно присутствовать.</w:t>
      </w:r>
    </w:p>
    <w:p>
      <w:pPr>
        <w:pStyle w:val="Normal"/>
      </w:pPr>
      <w:r>
        <w:rPr/>
        <w:t xml:space="preserve">Однако любой разбор имеет цену. Если каждое решение можно без конца останавливать новым обращением, общего ресурса может не остаться на саму работу. Поэтому процедуре нужны сроки, понятный объём рассмотрения, основания повторного обращения и возможность временного решения там, где промедление несёт ущерб. Эти ограничения тоже подлежат оценке. Бесконечное обсуждение и неоспоримая скорость одинаково способны лишить человека возможности действовать.</w:t>
      </w:r>
    </w:p>
    <w:p>
      <w:pPr>
        <w:pStyle w:val="Normal"/>
      </w:pPr>
      <w:r>
        <w:rPr/>
        <w:t xml:space="preserve">Как узнать, что выбранное устройство имеет смысл? В нашем примере недостаточно посчитать опубликованные правила и рассмотренные жалобы. Нужно увидеть, появляется ли достижимая возможность проверки у внешней команды, сохраняется ли надёжность, сколько стоит открытый вход и может ли неудобный запрос привести к изменению нормы. Если места для новичков существуют только на бумаге, показатель прозрачности не спасает проект. Если открытие разрушает обязательства или требует неприемлемой цены, предложенный способ надо менять.</w:t>
      </w:r>
    </w:p>
    <w:p>
      <w:pPr>
        <w:pStyle w:val="Normal"/>
      </w:pPr>
      <w:r>
        <w:rPr/>
        <w:t xml:space="preserve">Разногласие при этом останется. Не всякое исследование получит средства, не каждый отказ окажется убедительным для проигравшей стороны. Мы предлагаем устройство, в котором основания выбора доступны воздействию, а не общество без неудовлетворённых притязаний. Его сила будет измеряться способностью исправлять собственные ограничения, сохраняя возможность общей работы.</w:t>
      </w:r>
    </w:p>
    <w:p>
      <w:pPr>
        <w:pStyle w:val="Normal"/>
      </w:pPr>
      <w:r>
        <w:rPr/>
        <w:t xml:space="preserve">Но чем реальнее становится право влиять, тем острее вопрос о границе доверия. Человек может участвовать в изменении порядка доступа и ещё не быть готовым принять техническое решение, от которого зависит чужая безопасность. Какие основания позволяют передать ему это решение — и кто вправе судить об их достаточности?</w:t>
      </w:r>
    </w:p>
    <w:p>
      <w:pPr>
        <w:pStyle w:val="Heading1"/>
      </w:pPr>
      <w:r>
        <w:rPr/>
        <w:t xml:space="preserve">Источники и примечания</w:t>
      </w:r>
    </w:p>
    <w:p>
      <w:pPr>
        <w:pStyle w:val="Normal"/>
        <w:ind w:left="360" w:hanging="360"/>
      </w:pPr>
      <w:r>
        <w:rPr/>
        <w:t xml:space="preserve">1. </w:t>
      </w:r>
      <w:r>
        <w:rPr/>
        <w:t xml:space="preserve">Elinor Ostrom, </w:t>
      </w:r>
      <w:hyperlink w:history="1" r:id="link1">
        <w:r>
          <w:rPr>
            <w:i/>
            <w:rStyle w:val="Hyperlink"/>
          </w:rPr>
          <w:t xml:space="preserve">Beyond Markets and States: Polycentric Governance of Complex Economic Systems</w:t>
        </w:r>
      </w:hyperlink>
      <w:r>
        <w:rPr/>
        <w:t xml:space="preserve">, переработанный черновик Нобелевской лекции 8 декабря 2009 года, §4E, печатные с.12–13, и начало §5, с.14. Прочитанная версия обозначена автором как draft; здесь дан ограниченный пересказ без дословных цитат. Это не ссылка на фактически прочитанный полный текст финальной статьи </w:t>
      </w:r>
      <w:r>
        <w:rPr>
          <w:i/>
        </w:rPr>
        <w:t xml:space="preserve">American Economic Review</w:t>
      </w:r>
      <w:r>
        <w:rPr/>
        <w:t xml:space="preserve"> 2010 года. Авторское обобщение случаев управления общими ресурсами не доказывает работоспособности предлагаемого космического доступа.</w:t>
      </w:r>
    </w:p>
    <w:p>
      <w:pPr>
        <w:pStyle w:val="Normal"/>
      </w:pPr>
      <w:r>
        <w:rPr/>
        <w:t xml:space="preserve">Правило распределения будущих окон и варианты его изменения — явно условные проектные примеры. Прежние договоры и требования к безопасности не отменяются; новое финансирование, внешняя поставка и институциональный успех не объявлены состоявшимися.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dlc.dlib.indiana.edu/dlc/bitstreams/0a7a52e6-8cf0-42c3-ae20-776095e6fd1d/download" TargetMode="External" /></Relationships>
</file>