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Relationships xmlns="http://schemas.openxmlformats.org/package/2006/relationships"><Relationship Id="document"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pStyle w:val="Title"/>
      </w:pPr>
      <w:r>
        <w:rPr/>
        <w:t xml:space="preserve">Глава 14. Кто выбирает ваше развитие</w:t>
      </w:r>
    </w:p>
    <w:p>
      <w:pPr>
        <w:pStyle w:val="Subtitle"/>
      </w:pPr>
      <w:r>
        <w:rPr/>
        <w:t xml:space="preserve">Право на решение · версия 6.0</w:t>
      </w:r>
    </w:p>
    <w:p>
      <w:pPr>
        <w:pStyle w:val="Normal"/>
      </w:pPr>
      <w:r>
        <w:rPr/>
        <w:t xml:space="preserve">Хорошая помощь способна привести человека туда, куда он сам не догадался бы пойти. Наставник предлагает непривычный вопрос, показывает связь, рекомендует выдержать трудное место. ИИ может делать это терпеливо, точно и с учётом обстоятельств. Если участник после такой работы обнаружит новый интерес, у нас будет основание радоваться расширению его возможностей.</w:t>
      </w:r>
    </w:p>
    <w:p>
      <w:pPr>
        <w:pStyle w:val="Normal"/>
      </w:pPr>
      <w:r>
        <w:rPr/>
        <w:t xml:space="preserve">Но тот же механизм ставит трудный вопрос. Кто выбрал направление, к которому теперь стремится человек? Он сам, его наставник, организация, оплатившая помощь, или система, которая определяла доступные варианты и меру успеха?</w:t>
      </w:r>
    </w:p>
    <w:p>
      <w:pPr>
        <w:pStyle w:val="Normal"/>
      </w:pPr>
      <w:r>
        <w:rPr/>
        <w:t xml:space="preserve">Простой ответ — пусть человек выбирает сам. Однако новичок не всегда знает, что именно ему предстоит освоить. Он может не различать существенную трудность и лишнее препятствие, перспективный путь и убедительно описанный тупик. Требовать полноценного выбора до всякого опыта означало бы оставить его без помощи именно там, где она особенно нужна.</w:t>
      </w:r>
    </w:p>
    <w:p>
      <w:pPr>
        <w:pStyle w:val="Normal"/>
      </w:pPr>
      <w:r>
        <w:rPr/>
        <w:t xml:space="preserve">И невозможно найти исходное желание, которого никогда не касалось чужое влияние. Объяснение уже меняет представление о возможном. Проба способна изменить интерес. Даже отказ от одного наставника зависит от того, какие альтернативы человек встретил. Поэтому свободу развития нельзя построить как отсутствие влияния. Нам предстоит устроить отношения, внутри которых влияние можно понимать, сравнивать и пересматривать.</w:t>
      </w:r>
    </w:p>
    <w:p>
      <w:pPr>
        <w:pStyle w:val="Normal"/>
      </w:pPr>
      <w:r>
        <w:rPr/>
        <w:t xml:space="preserve">Это сложнее, чем однажды получить согласие на программу. В начале участник может выбрать помощь для определённой задачи. По мере работы станут видны другие занятия, ограничения и последствия. Первоначальное согласие не даёт организатору бессрочного полномочия определять всё дальнейшее развитие. Но и каждую рекомендацию не нужно превращать в отдельный договор. Полезно обозначить область поручения: какую цель сейчас поддерживает помощь, какие решения остаются за участником и когда можно вернуться к самому выбору цели.</w:t>
      </w:r>
    </w:p>
    <w:p>
      <w:pPr>
        <w:pStyle w:val="Normal"/>
      </w:pPr>
      <w:r>
        <w:rPr/>
        <w:t xml:space="preserve">Такое поручение может быть широким. Человек вправе довериться наставнику и попросить подобрать последовательность, не проверяя ежедневно педагогическую теорию. Он вправе согласиться с ИИ после объяснения. Подозрение ко всякому доверию сделало бы совместную работу невыносимой. Важна возможность пересмотра, когда возникло основание, а не обязанность постоянно подтверждать собственную независимость несогласием.</w:t>
      </w:r>
    </w:p>
    <w:p>
      <w:pPr>
        <w:pStyle w:val="Separator"/>
      </w:pPr>
      <w:r>
        <w:rPr/>
        <w:t xml:space="preserve">⸻</w:t>
      </w:r>
    </w:p>
    <w:p>
      <w:pPr>
        <w:pStyle w:val="Normal"/>
      </w:pPr>
      <w:r>
        <w:rPr/>
        <w:t xml:space="preserve">Опасность появляется, когда единственный доступный путь одновременно определяет и занятие, и оценку человека. Организация предлагает задачи, оплачивает помощь, решает, какие способности значимы, и выдаёт разрешение на следующую роль. Если участник захочет другого, его выбор легко представить как недостаток мотивации или незрелость. Это возможное устройство, а не утверждение о неизбежном намерении любого наставника.</w:t>
      </w:r>
    </w:p>
    <w:p>
      <w:pPr>
        <w:pStyle w:val="Normal"/>
      </w:pPr>
      <w:r>
        <w:rPr/>
        <w:t xml:space="preserve">Интерес организации понятен. Она оплачивает определённую деятельность и нуждается в подходящей подготовке. Никто не обязан превращать договор о работе в обещание финансировать любое будущее направление. Но границу следует назвать своим именем: эта программа поддерживает такие задачи и располагает такими средствами. Из ограниченности оплаченного предмета не следует, что другие интересы участника ошибочны или что всё ценное развитие совпадает с потребностью работодателя.</w:t>
      </w:r>
    </w:p>
    <w:p>
      <w:pPr>
        <w:pStyle w:val="Normal"/>
      </w:pPr>
      <w:r>
        <w:rPr/>
        <w:t xml:space="preserve">Поэтому образовательный путь должен позволять увидеть разницу между критерием конкретной работы и мерой собственного становления. В производственной задаче могут быть обязательные требования. Вне неё остаются другие вопросы, формы участия и способы учиться. Некоторые не принесут непосредственной пользы заказу и всё же могут быть важны человеку и обществу. Если для них нужны защищённое время и иной источник поддержки, это отдельная цена, которую нельзя спрятать в обещании всесторонней производственной среды.</w:t>
      </w:r>
    </w:p>
    <w:p>
      <w:pPr>
        <w:pStyle w:val="Normal"/>
      </w:pPr>
      <w:r>
        <w:rPr/>
        <w:t xml:space="preserve">У Пейперта и Харел есть полезное ограничение педагогического притязания: способ обучения, подходящий некоторым, не становится тем самым лучшим для всех. Авторы связывают обсуждение с различиями интеллектуальных предпочтений.[1] Для нашей конструкции это означает, что удачный путь через создание предмета нельзя превращать в единственную допустимую биографию развития. Отказ от конкретной формы работы ещё не говорит об отказе понимать или действовать.</w:t>
      </w:r>
    </w:p>
    <w:p>
      <w:pPr>
        <w:pStyle w:val="Normal"/>
      </w:pPr>
      <w:r>
        <w:rPr/>
        <w:t xml:space="preserve">Одна среда может хорошо поддерживать исследование через опыт, другая — давать необходимый теоретический разбор, третья — позволять долго заниматься вопросом без готового продукта. Эти возможности не обязаны существовать в одной организации. Но между ними должны быть пригодные переходы. Если всё освоенное признаётся только внутри единственного маршрута, выбор другой помощи становится возвратом к началу, каким бы содержательным ни был прежний опыт.</w:t>
      </w:r>
    </w:p>
    <w:p>
      <w:pPr>
        <w:pStyle w:val="Normal"/>
      </w:pPr>
      <w:r>
        <w:rPr/>
        <w:t xml:space="preserve">Доступ к альтернативе должен быть больше, чем каталог чужих программ. Человеку может понадобиться время попробовать иной способ работы, поговорить с независимым специалистом, предъявить свои результаты в другой среде. При этом не каждая проба требует смены всей деятельности. Иногда достаточно другой формы объяснения или права поставить вопрос, который не входил в план. Принцип состоит в возможности изменить помощь по содержательной причине, а не в постоянной смене наставников.</w:t>
      </w:r>
    </w:p>
    <w:p>
      <w:pPr>
        <w:pStyle w:val="Normal"/>
      </w:pPr>
      <w:r>
        <w:rPr/>
        <w:t xml:space="preserve">Критерии оценки также должны быть доступны обсуждению. Если участник решает задачу иначе и получает требуемый результат на проверяемом основании, несходство с рекомендованным способом не является недостатком само по себе. Если же альтернативный способ нарушает требование безопасности или не обеспечивает необходимого знания, наставник вправе возразить. Право выбирать помощь не обязывает остальных считать все методы равноценными. Оно требует, чтобы возражение относилось к основанию, которое можно рассмотреть, а не к самому факту непослушания.</w:t>
      </w:r>
    </w:p>
    <w:p>
      <w:pPr>
        <w:pStyle w:val="Normal"/>
      </w:pPr>
      <w:r>
        <w:rPr/>
        <w:t xml:space="preserve">Здесь обнаруживается предел образовательного языка. Слово «развитие» может придавать любому требованию вид заботы о человеке. В действительности часть требований защищает срок заказа, удобство организации или привычный порядок. Эти основания могут быть законными и важными. Их не нужно маскировать утверждением, что именно так человек обязан становиться лучше. Иначе спор об условиях работы превратится в спор с авторитетом, который присвоил право знать ваше благо.</w:t>
      </w:r>
    </w:p>
    <w:p>
      <w:pPr>
        <w:pStyle w:val="Normal"/>
      </w:pPr>
      <w:r>
        <w:rPr/>
        <w:t xml:space="preserve">Сильный ИИ способен сделать такое присвоение особенно удобным. Он может предложить убедительное объяснение каждого шага, учесть прежние предпочтения и подобрать комфортную последовательность. Но комфорт и точность рекомендации не отвечают на вопрос, какую цель она обслуживает. Если система поддерживает только закреплённую программу, всё более хорошая помощь внутри неё не создаёт возможности выбрать другую.</w:t>
      </w:r>
    </w:p>
    <w:p>
      <w:pPr>
        <w:pStyle w:val="Normal"/>
      </w:pPr>
      <w:r>
        <w:rPr/>
        <w:t xml:space="preserve">Возможен и противоположный результат. Тот же интеллект может показать разные основания, помочь освоить непонятную альтернативу и уменьшить зависимость от единственного человеческого наставника. Для этого важны доступы и устройство поручения. Может ли участник запросить сравнение целей, а не только способов их достижения? Может ли узнать, чем ограничены рекомендации? Может ли получить помощь, не передавая одному распорядителю всю историю своих проб и право определять последующий допуск? Именно эти решения различают расширение возможности и более удобное управление ею.</w:t>
      </w:r>
    </w:p>
    <w:p>
      <w:pPr>
        <w:pStyle w:val="Separator"/>
      </w:pPr>
      <w:r>
        <w:rPr/>
        <w:t xml:space="preserve">⸻</w:t>
      </w:r>
    </w:p>
    <w:p>
      <w:pPr>
        <w:pStyle w:val="Normal"/>
      </w:pPr>
      <w:r>
        <w:rPr/>
        <w:t xml:space="preserve">Иногда участник после сравнения останется в прежней программе. Это не опровержение свободы. Вполне возможно, что наставник с самого начала предложил подходящий путь. Ценность открытой альтернативы не измеряется числом ушедших. Её обнаруживают в том, что решение остаться принято при доступной возможности действовать иначе и что новое основание сможет изменить его позднее.</w:t>
      </w:r>
    </w:p>
    <w:p>
      <w:pPr>
        <w:pStyle w:val="Normal"/>
      </w:pPr>
      <w:r>
        <w:rPr/>
        <w:t xml:space="preserve">Необязательно и заранее знать окончательную цель. Можно временно исследовать область, не обещая превратить её в профессию или предприятие. Защищённая неопределённость имеет цену: время и поддержку придётся обеспечить. Но если каждый шаг должен немедленно доказывать будущую продуктивность, человек получит свободу лишь внутри тех продолжений, выгоду которых уже умеет объяснить. Новое направление часто и составляет предмет поиска; мы не можем требовать его полного обоснования как условия всякого знакомства с ним.</w:t>
      </w:r>
    </w:p>
    <w:p>
      <w:pPr>
        <w:pStyle w:val="Normal"/>
      </w:pPr>
      <w:r>
        <w:rPr/>
        <w:t xml:space="preserve">Это не означает неограниченной оплаты любых проб. Общество и организация вправе устанавливать объём поддержки и выбирать между запросами. Важно различать отказ оплатить определённое исследование и притязание определить, чем человеку позволено интересоваться. Можно закончить программу, сохранив участнику результаты, понятные основания решения и доступный путь обратиться в другую среду. Ограниченность одного бюджета не должна выглядеть окончательным приговором всему замыслу.</w:t>
      </w:r>
    </w:p>
    <w:p>
      <w:pPr>
        <w:pStyle w:val="Normal"/>
      </w:pPr>
      <w:r>
        <w:rPr/>
        <w:t xml:space="preserve">У наставника при этом остаётся сложная обязанность: помогать человеку стать менее зависимым от собственной помощи. Иногда для этого нужно достаточно долго вести его через трудность; иногда — перестать определять следующий шаг. Единого срока здесь нет. Проверять следует то, какие возможности появились и кто теперь принимает существенные решения. Если помощь неизменно производит потребность в ещё большем личном руководстве, заявленная передача самостоятельности требует пересмотра.</w:t>
      </w:r>
    </w:p>
    <w:p>
      <w:pPr>
        <w:pStyle w:val="Normal"/>
      </w:pPr>
      <w:r>
        <w:rPr/>
        <w:t xml:space="preserve">Но не всякая продолжительная потребность в поддержке является провалом. Люди различаются по обстоятельствам, состоянию здоровья и выбранной деятельности. Самостоятельность может включать постоянную помощь. Её смысл — иметь влияние на собственную работу и условия поддержки, а не однажды перестать в ком-либо нуждаться. Среда, которая признаёт только краткий путь к полной независимости, сама назначит узкую норму человека.</w:t>
      </w:r>
    </w:p>
    <w:p>
      <w:pPr>
        <w:pStyle w:val="Normal"/>
      </w:pPr>
      <w:r>
        <w:rPr/>
        <w:t xml:space="preserve">В особенности нельзя делать непрерывное развитие моральной обязанностью. Человек может предпочесть устойчивую роль, заботу о близких, отдых или занятие без измеримого продвижения. Образовательный проект теряет своё основание, если обещанная возможность начинает требовать постоянного оправдания жизни новыми достижениями. Мы хотим расширить область выбора, включая выбор не пользоваться некоторыми открытыми путями.</w:t>
      </w:r>
    </w:p>
    <w:p>
      <w:pPr>
        <w:pStyle w:val="Normal"/>
      </w:pPr>
      <w:r>
        <w:rPr/>
        <w:t xml:space="preserve">Так возникает более точное требование к помощи. Она должна позволять человеку осваивать предложенное и получать средства для пересмотра самого предложения. Это требование относится к устройству отношений: доступным вариантам, времени, данным, критериям оценки и праву сменить направление. Добрые намерения наставника могут поддержать его, но не заменяют этих условий.</w:t>
      </w:r>
    </w:p>
    <w:p>
      <w:pPr>
        <w:pStyle w:val="Normal"/>
      </w:pPr>
      <w:r>
        <w:rPr/>
        <w:t xml:space="preserve">Остаётся последнее возражение. Человек может знать, что хочет уйти, иметь разрешение и всё же не располагать средствами осуществить выбор. Следующая среда далеко, время не оплачено, прежние результаты закрыты, возвращение зависит от личного прощения. Тогда наше требование самостоятельного выбора остановится перед обычными расходами жизни.</w:t>
      </w:r>
    </w:p>
    <w:p>
      <w:pPr>
        <w:pStyle w:val="Normal"/>
      </w:pPr>
      <w:r>
        <w:rPr/>
        <w:t xml:space="preserve">Чтобы добровольность была действительной, нужно разобрать выход, паузу и возвращение как части самого проекта.</w:t>
      </w:r>
    </w:p>
    <w:p>
      <w:pPr>
        <w:pStyle w:val="Heading1"/>
      </w:pPr>
      <w:r>
        <w:rPr/>
        <w:t xml:space="preserve">Источники и примечания</w:t>
      </w:r>
    </w:p>
    <w:p>
      <w:pPr>
        <w:pStyle w:val="Normal"/>
        <w:ind w:left="360" w:hanging="360"/>
      </w:pPr>
      <w:r>
        <w:rPr/>
        <w:t xml:space="preserve">1. </w:t>
      </w:r>
      <w:r>
        <w:rPr/>
        <w:t xml:space="preserve">Seymour Papert, Idit Harel, </w:t>
      </w:r>
      <w:hyperlink w:history="1" r:id="link1">
        <w:r>
          <w:rPr>
            <w:i/>
            <w:rStyle w:val="Hyperlink"/>
          </w:rPr>
          <w:t xml:space="preserve">Situating Constructionism</w:t>
        </w:r>
      </w:hyperlink>
      <w:r>
        <w:rPr/>
        <w:t xml:space="preserve">, 1991, с.2: различение утверждений о пригодности подхода для некоторых и для всех, обсуждение интеллектуальных предпочтений. Это позиция авторов о пределах педагогического притязания, а не эмпирическое доказательство предлагаемого нами устройства с сильным ИИ.</w:t>
      </w:r>
    </w:p>
    <w:p>
      <w:pPr>
        <w:pStyle w:val="Normal"/>
      </w:pPr>
      <w:r>
        <w:rPr/>
        <w:t xml:space="preserve">Возможные зависимости от наставника и организации рассматриваются как риски определённых отношений. Они не объявлены универсальными психологическими мотивами или наблюдениями проведённого пилота.</w:t>
      </w:r>
    </w:p>
    <w:sectPr>
      <w:footerReference w:type="default" r:id="footer"/>
      <w:pgSz w:w="11906" w:h="16838"/>
      <w:pgMar w:top="1276" w:right="1361" w:bottom="1276" w:left="1361" w:header="567" w:footer="567" w:gutter="0"/>
    </w:sectPr>
  </w:body>
</w:document>
</file>

<file path=word/footer1.xml><?xml version="1.0" encoding="utf-8"?>
<w:ftr xmlns:w="http://schemas.openxmlformats.org/wordprocessingml/2006/main">
  <w:p>
    <w:pPr>
      <w:jc w:val="center"/>
    </w:pPr>
    <w:fldSimple w:instr="PAGE">
      <w:r>
        <w:t>1</w:t>
      </w:r>
    </w:fldSimple>
  </w:p>
</w:ftr>
</file>

<file path=word/styles.xml><?xml version="1.0" encoding="utf-8"?>
<w:styles xmlns:w="http://schemas.openxmlformats.org/wordprocessingml/2006/main">
  <w:docDefaults>
    <w:rPrDefault>
      <w:rPr>
        <w:rFonts w:ascii="Georgia" w:hAnsi="Georgia" w:cs="Georgia"/>
        <w:sz w:val="24"/>
        <w:lang w:val="ru-RU"/>
      </w:rPr>
    </w:rPrDefault>
  </w:docDefaults>
  <w:style w:type="paragraph" w:styleId="Normal" w:default="1">
    <w:name w:val="Normal"/>
    <w:pPr>
      <w:spacing w:before="0" w:after="120" w:line="312" w:lineRule="auto"/>
      <w:widowControl/>
    </w:pPr>
    <w:rPr>
      <w:sz w:val="24"/>
    </w:rPr>
  </w:style>
  <w:style w:type="paragraph" w:styleId="Title">
    <w:name w:val="Title"/>
    <w:pPr>
      <w:spacing w:before="0" w:after="240" w:line="312" w:lineRule="auto"/>
      <w:widowControl/>
      <w:keepNext/>
    </w:pPr>
    <w:rPr>
      <w:sz w:val="40"/>
      <w:b/>
    </w:rPr>
  </w:style>
  <w:style w:type="paragraph" w:styleId="Subtitle">
    <w:name w:val="Subtitle"/>
    <w:pPr>
      <w:spacing w:before="0" w:after="480" w:line="312" w:lineRule="auto"/>
      <w:widowControl/>
      <w:keepNext/>
    </w:pPr>
    <w:rPr>
      <w:sz w:val="20"/>
      <w:color w:val="666666"/>
    </w:rPr>
  </w:style>
  <w:style w:type="paragraph" w:styleId="Heading1">
    <w:name w:val="Heading1"/>
    <w:pPr>
      <w:spacing w:before="360" w:after="180" w:line="312" w:lineRule="auto"/>
      <w:widowControl/>
      <w:keepNext/>
      <w:outlineLvl w:val="0"/>
    </w:pPr>
    <w:rPr>
      <w:sz w:val="30"/>
      <w:b/>
    </w:rPr>
  </w:style>
  <w:style w:type="paragraph" w:styleId="Heading2">
    <w:name w:val="Heading2"/>
    <w:pPr>
      <w:spacing w:before="280" w:after="150" w:line="312" w:lineRule="auto"/>
      <w:widowControl/>
      <w:keepNext/>
      <w:outlineLvl w:val="1"/>
    </w:pPr>
    <w:rPr>
      <w:sz w:val="26"/>
      <w:b/>
    </w:rPr>
  </w:style>
  <w:style w:type="paragraph" w:styleId="Separator">
    <w:name w:val="Separator"/>
    <w:pPr>
      <w:spacing w:before="150" w:after="200" w:line="312" w:lineRule="auto"/>
      <w:widowControl/>
      <w:jc w:val="center"/>
    </w:pPr>
    <w:rPr>
      <w:sz w:val="24"/>
    </w:rPr>
  </w:style>
  <w:style w:type="character" w:styleId="Hyperlink">
    <w:name w:val="Hyperlink"/>
    <w:rPr>
      <w:color w:val="315D82"/>
      <w:u w:val="single"/>
    </w:rPr>
  </w:style>
</w:styles>
</file>

<file path=word/_rels/document.xml.rels><?xml version='1.0' encoding='utf-8'?>
<Relationships xmlns="http://schemas.openxmlformats.org/package/2006/relationships"><Relationship Id="styles" Type="http://schemas.openxmlformats.org/officeDocument/2006/relationships/styles" Target="styles.xml" /><Relationship Id="footer" Type="http://schemas.openxmlformats.org/officeDocument/2006/relationships/footer" Target="footer1.xml" /><Relationship Id="link1" Type="http://schemas.openxmlformats.org/officeDocument/2006/relationships/hyperlink" Target="https://pirun.ku.ac.th/~btun/papert/sitcons.pdf" TargetMode="External" /></Relationships>
</file>