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15. Право не участвовать — и вернуться</w:t>
      </w:r>
    </w:p>
    <w:p>
      <w:pPr>
        <w:pStyle w:val="Subtitle"/>
      </w:pPr>
      <w:r>
        <w:rPr/>
        <w:t xml:space="preserve">Право на решение · версия 6.0</w:t>
      </w:r>
    </w:p>
    <w:p>
      <w:pPr>
        <w:pStyle w:val="Normal"/>
      </w:pPr>
      <w:r>
        <w:rPr/>
        <w:t xml:space="preserve">Из программы можно выйти — но потерять вместе с местом в ней доход, доступ к своим результатам и возможность когда-либо вернуться. Формальный запрет отсутствует. Цена выбора делает его почти недоступным.</w:t>
      </w:r>
    </w:p>
    <w:p>
      <w:pPr>
        <w:pStyle w:val="Normal"/>
      </w:pPr>
      <w:r>
        <w:rPr/>
        <w:t xml:space="preserve">Для «образования, которого нет» это особенно серьёзная опасность. Если развитие встроено в реальную деятельность, уход затронет больше, чем расписание занятий. Работа, помощь, профессиональное признание и средства жизни могут оказаться соединены в одной среде. Чем лучше она устроена, тем труднее бывает найти замену всем её функциям сразу. Мы не можем считать это достаточным основанием пожизненного участия.</w:t>
      </w:r>
    </w:p>
    <w:p>
      <w:pPr>
        <w:pStyle w:val="Normal"/>
      </w:pPr>
      <w:r>
        <w:rPr/>
        <w:t xml:space="preserve">Самый прямой ответ — обеспечить безусловный выход. Однако человек участвует в общих обязательствах. Его роль может быть связана с принятой поставкой, состоянием оборудования, чужими данными и работой оставшихся участников. Изменение интереса не отменяет автоматически того, на что другие уже рассчитывают. Свобода одного не должна оплачиваться неограниченной неожиданной нагрузкой остальных.</w:t>
      </w:r>
    </w:p>
    <w:p>
      <w:pPr>
        <w:pStyle w:val="Normal"/>
      </w:pPr>
      <w:r>
        <w:rPr/>
        <w:t xml:space="preserve">Значит, выход надо проектировать раньше, чем он станет предметом конфликта. При входе должно быть понятно, на какой срок и в какой области принимаются обязательства, что потребуется передать, какие результаты можно сохранить и что произойдёт с поддержкой. Участнику не нужно предсказывать собственную жизнь. Организации нужно понимать, как она продолжит работу, если человек ею больше не занимается.</w:t>
      </w:r>
    </w:p>
    <w:p>
      <w:pPr>
        <w:pStyle w:val="Normal"/>
      </w:pPr>
      <w:r>
        <w:rPr/>
        <w:t xml:space="preserve">Это меняет саму конструкцию роли. Если существенное знание, доступы и право согласования существуют только у одного участника, его уход становится угрозой. Называть такую угрозу доказательством ценности человека приятно, но для добровольности она опасна. Следует иметь пригодные материалы, доступную замену и возможность безопасно сократить или остановить работу. Передача роли должна входить в обычную деятельность, а не возникать как чрезвычайное требование к тому, кто решил уйти.</w:t>
      </w:r>
    </w:p>
    <w:p>
      <w:pPr>
        <w:pStyle w:val="Normal"/>
      </w:pPr>
      <w:r>
        <w:rPr/>
        <w:t xml:space="preserve">Сильный ИИ может облегчить передачу. Помочь восстановить основания решений, объяснить текущую работу другому участнику, принять на себя часть исполнения. Это реальное возможное преимущество автоматизации для свободы. Но наличие ИИ не прекращает обязательств перед покупателем и не подтверждает автоматически пригодность замены. Необходимый переход всё равно должен иметь обоснование, ответственного и оплачиваемое время.</w:t>
      </w:r>
    </w:p>
    <w:p>
      <w:pPr>
        <w:pStyle w:val="Normal"/>
      </w:pPr>
      <w:r>
        <w:rPr/>
        <w:t xml:space="preserve">Передача не может быть бесконечной. Если человека считают свободным только после появления идеального преемника, условия выхода зависят от того, чем он сам не управляет. Для предлагаемого нами устройства требуется ограничить его обязательства заранее, отдельно предусмотреть организационный резерв и определить безопасный исход при отсутствии замены. Иногда им станет сокращение деятельности. Это неприятная цена, но её нельзя без предела предъявлять одному участнику под видом ответственности за всех.</w:t>
      </w:r>
    </w:p>
    <w:p>
      <w:pPr>
        <w:pStyle w:val="Normal"/>
      </w:pPr>
      <w:r>
        <w:rPr/>
        <w:t xml:space="preserve">При этом уходящий не приобретает права забрать чужое оборудование или раскрыть закрытые сведения. Переносимость результатов нужно определять по их происхождению и согласованным условиям. Человек должен иметь возможность подтвердить, что освоил и сделал, использовать собственные разрешённые материалы и продолжать работу там, где это не нарушает чужих прав. В некоторых случаях понадобится отделить общедоступное основание от конфиденциальных данных. Если такого пути нет вовсе, выход сохраняет свободу перемещения и лишает возможности продолжать приобретённую деятельность.</w:t>
      </w:r>
    </w:p>
    <w:p>
      <w:pPr>
        <w:pStyle w:val="Normal"/>
      </w:pPr>
      <w:r>
        <w:rPr/>
        <w:t xml:space="preserve">Закрытие части доступов после ухода также может быть обоснованным. Право работать с действующей установкой связано с ролью и ответственностью. Оно не обязано сохраняться навсегда. Но прекращение операционного доступа не должно автоматически стирать историю собственного вклада, право на оговорённый результат и возможность независимого подтверждения способности. Важно различить то, что защищает систему, и то, что удерживает человека внутри неё.</w:t>
      </w:r>
    </w:p>
    <w:p>
      <w:pPr>
        <w:pStyle w:val="Normal"/>
      </w:pPr>
      <w:r>
        <w:rPr/>
        <w:t xml:space="preserve">Главная цена выхода часто находится вне самой работы. Даже короткая пауза может требовать средств на обычную жизнь. Наше нормативное основание состоит в том, что достоинство и необходимая защищённость не должны зависеть от постоянного успешного участия в программе развития. Конкретное обеспечение может иметь разные источники. Но если единственный организатор вправе в ответ на отказ прекратить всё, на чём держится жизнь человека, право выбора остаётся уязвимым.</w:t>
      </w:r>
    </w:p>
    <w:p>
      <w:pPr>
        <w:pStyle w:val="Normal"/>
      </w:pPr>
      <w:r>
        <w:rPr/>
        <w:t xml:space="preserve">Это не означает бессрочной оплаты прежнего проекта. Можно завершить финансирование исследования, перестать резервировать дорогое оборудование и закрыть неиспользуемую роль. Материальная защищённость человека и бюджет его прежнего занятия — разные предметы. Их смешение работает в обе стороны: либо участника удерживают угрозой потери необходимого, либо от общества требуют бесконечно оплачивать конкретную работу как условие уважения к личности.</w:t>
      </w:r>
    </w:p>
    <w:p>
      <w:pPr>
        <w:pStyle w:val="Normal"/>
      </w:pPr>
      <w:r>
        <w:rPr/>
        <w:t xml:space="preserve">Оплата подготовки тоже требует ясного основания. Организация может вложить существенные средства и рассчитывать на согласованный период работы или оговорённый возврат. Но если объём этого обязательства неизвестен заранее, постоянно увеличивается и подчиняет ему всё будущее участника, образование становится способом удержания. Часть подготовки могла быть оплачена внешней программой ради переносимых способностей; её нельзя вторично предъявить человеку как личную благотворительность работодателя. Предлагаемое устройство должно сохранять понятную, ограниченную цену соглашения и не превращать обучение в бессрочный долг за возможность уйти.</w:t>
      </w:r>
    </w:p>
    <w:p>
      <w:pPr>
        <w:pStyle w:val="Normal"/>
      </w:pPr>
      <w:r>
        <w:rPr/>
        <w:t xml:space="preserve">У оставшихся участников есть собственное основание возражать. Если каждый выход означает, что они бесплатно доделывают чужую работу, добровольность одного будет воспроизводиться за их счёт. Поэтому расходы передачи и завершения включаются в полную стоимость программы: время, поддержка, временное уменьшение объёма и резерв на принятые обязательства. Наличие такого резерва делает проект дороже. Оно может уменьшить число одновременно поддерживаемых начинаний. Эту цену следует обсуждать открыто, а не скрывать в обещании, что хорошие отношения всё уладят.</w:t>
      </w:r>
    </w:p>
    <w:p>
      <w:pPr>
        <w:pStyle w:val="Normal"/>
      </w:pPr>
      <w:r>
        <w:rPr/>
        <w:t xml:space="preserve">Но люди могут хотеть не уходить навсегда, а остановиться. Пауза отличается от прекращения всех отношений. Её причины не обязательно нуждаются в оценке организатора: другая работа, забота, усталость, изменение интереса. Наш проект не обязан устанавливать, достаточно ли уважительна причина, чтобы человек получил право перестать развиваться по предложенному плану. Достаточно согласовать последствия для общей работы и не приписывать паузе отсутствия способности.</w:t>
      </w:r>
    </w:p>
    <w:p>
      <w:pPr>
        <w:pStyle w:val="Normal"/>
      </w:pPr>
      <w:r>
        <w:rPr/>
        <w:t xml:space="preserve">Сохранить на это время всё прежнее иногда невозможно. Ограниченный ресурс нельзя резервировать бесконечно; другому человеку тоже нужен вход. Поэтому пауза требует ясности о том, что остаётся: доступ к материалам, возможность консультации, право подать заявку на возвращение, признание прежних результатов. Содержательное отношение может продолжаться без сохранения той же должности и того же места в расписании оборудования.</w:t>
      </w:r>
    </w:p>
    <w:p>
      <w:pPr>
        <w:pStyle w:val="Normal"/>
      </w:pPr>
      <w:r>
        <w:rPr/>
        <w:t xml:space="preserve">Возвращение, в свою очередь, нельзя строить как просьбу о прощении. Человек мог воспользоваться согласованным выходом и не совершить ничего, что требует нравственного оправдания. Если организация теперь имеет другую задачу или не располагает ресурсом, это основание для конкретного решения. Оно не даёт права представлять прошлый уход как доказательство нелояльности, несовместимой с будущей самостоятельностью.</w:t>
      </w:r>
    </w:p>
    <w:p>
      <w:pPr>
        <w:pStyle w:val="Normal"/>
      </w:pPr>
      <w:r>
        <w:rPr/>
        <w:t xml:space="preserve">Но и прежний допуск не переносится автоматически в любые новые условия. Измениться могут инструмент, правила безопасной работы и сама задача. При возвращении следует выяснить, что сохранило силу и что нужно подтвердить заново. Такая проверка относится к текущей области действия. Она не должна заставлять человека проходить весь путь сначала лишь потому, что системе удобнее считать его новым и ничего не знать о прежнем опыте.</w:t>
      </w:r>
    </w:p>
    <w:p>
      <w:pPr>
        <w:pStyle w:val="Normal"/>
      </w:pPr>
      <w:r>
        <w:rPr/>
        <w:t xml:space="preserve">Переносимые материалы и понятное подтверждение способности помогают как возвращению, так и переходу в другое место. Здесь независимая оценка приобретает ещё один смысл: она не даёт одному организатору стать единственным хранителем профессионального прошлого человека. При этом другой коллектив вправе определить собственные требования к конкретной работе. Портативность не означает всеобщего обязательства принять любой прежний результат без разбора.</w:t>
      </w:r>
    </w:p>
    <w:p>
      <w:pPr>
        <w:pStyle w:val="Normal"/>
      </w:pPr>
      <w:r>
        <w:rPr/>
        <w:t xml:space="preserve">Как понять, что выход действителен? Недостаточно записать соответствующее право в документе. Нужно рассмотреть весь переход: доступно ли прекращение роли, оплачена ли необходимая передача, что происходит с жизненными расходами, результатами и обязательствами, существует ли достижимый путь обратно или в другую среду. Если каждый этап возможен только благодаря личному исключению, свобода зависит от отношения распорядителя к конкретному человеку.</w:t>
      </w:r>
    </w:p>
    <w:p>
      <w:pPr>
        <w:pStyle w:val="Normal"/>
      </w:pPr>
      <w:r>
        <w:rPr/>
        <w:t xml:space="preserve">Число ушедших не является простой мерой качества. В хорошей среде могут предпочитать оставаться. Из плохой могут уходить многие — если у них есть средства. Нас интересует возможность выбора и его цена, а не обязательное перемещение ради доказательства независимости. Точно так же возвращение не должно становиться показателем раскаяния или признания превосходства прежней программы.</w:t>
      </w:r>
    </w:p>
    <w:p>
      <w:pPr>
        <w:pStyle w:val="Normal"/>
      </w:pPr>
      <w:r>
        <w:rPr/>
        <w:t xml:space="preserve">В конечном счёте добровольность предъявляет требование к обществу: не связывать всякую возможность жизни и деятельности с одним центром. Разные источники поддержки и доступные формы участия могут сделать выход реальным. Но их разнообразие также нужно проверять: независимые названия не помогут, если решения принимает один распорядитель или если перенос опыта нигде не допускается. Расширение выбора — отдельная работа с материальными условиями, а не только с убеждением человека в собственной свободе.</w:t>
      </w:r>
    </w:p>
    <w:p>
      <w:pPr>
        <w:pStyle w:val="Normal"/>
      </w:pPr>
      <w:r>
        <w:rPr/>
        <w:t xml:space="preserve">При этом никто не обязан превращать выход в очередной проект совершенствования. Можно не выбирать немедленно следующую сложную задачу. Можно жить без непрерывного накопления подтверждённых способностей. Иначе наше образование охватит жизнь так плотно, что снаружи останется только обвинение в отказе от развития. Возможность не участвовать — одна из причин, по которым участие вообще имеет ценность.</w:t>
      </w:r>
    </w:p>
    <w:p>
      <w:pPr>
        <w:pStyle w:val="Normal"/>
      </w:pPr>
      <w:r>
        <w:rPr/>
        <w:t xml:space="preserve">Теперь у предлагаемой среды есть начало, путь к самостоятельному действию и способы перестать пользоваться этим путём. Это ещё не означает, что она существует. В книге легко предусмотреть одновременно хороший результат, доступное понимание, справедливые деньги, передачу полномочий и достойный выход. В реальной работе ограниченный ресурс заставит выбирать раньше, чем удастся завершить все обещания.</w:t>
      </w:r>
    </w:p>
    <w:p>
      <w:pPr>
        <w:pStyle w:val="Normal"/>
      </w:pPr>
      <w:r>
        <w:rPr/>
        <w:t xml:space="preserve">Нам пора определить первую проверку. Достаточно малую, чтобы её можно было ответственно начать, и достаточно содержательную, чтобы её результат имел право изменить наш замысел.</w:t>
      </w:r>
    </w:p>
    <w:p>
      <w:pPr>
        <w:pStyle w:val="Heading1"/>
      </w:pPr>
      <w:r>
        <w:rPr/>
        <w:t xml:space="preserve">Источники и примечания</w:t>
      </w:r>
    </w:p>
    <w:p>
      <w:pPr>
        <w:pStyle w:val="Normal"/>
      </w:pPr>
      <w:r>
        <w:rPr/>
        <w:t xml:space="preserve">Условия выхода, передачи обязательств и возвращения предложены как элементы проектируемой среды. Глава не описывает действующие трудовые или договорные нормы какой-либо юрисдикции. Конкретные соглашения и материальные гарантии требуют принятия реальными сторонами; таких соглашений книга не объявляет заключёнными.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