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17. Когда ИИ становится сильнее нашего решения</w:t>
      </w:r>
    </w:p>
    <w:p>
      <w:pPr>
        <w:pStyle w:val="Subtitle"/>
      </w:pPr>
      <w:r>
        <w:rPr/>
        <w:t xml:space="preserve">Право на решение · версия 6.0</w:t>
      </w:r>
    </w:p>
    <w:p>
      <w:pPr>
        <w:pStyle w:val="Normal"/>
      </w:pPr>
      <w:r>
        <w:rPr/>
        <w:t xml:space="preserve">Пусть ИИ станет лучше и в том деле, которое мы ему пока поручали лишь частично: в развитии людей. Точнее определит исходные возможности, найдёт подходящее объяснение, подберёт следующую задачу, организует коллектив и поможет передать работу. Система уже умела это делать в нашем исходном допущении. Теперь усилим её настолько, что предложенная нами последовательность может оказаться грубой по сравнению с доступной помощью.</w:t>
      </w:r>
    </w:p>
    <w:p>
      <w:pPr>
        <w:pStyle w:val="Normal"/>
      </w:pPr>
      <w:r>
        <w:rPr/>
        <w:t xml:space="preserve">Это хорошее возражение к методике. Если открытый доступ к более сильному ИИ даёт человеку необходимый путь, нет причины сохранять специальный порядок ради верности книге. В сравнении всех трёх способов организации работы новый интеллект должен быть доступен одинаково, а его стоимость — входить в полный ресурс каждого. Нельзя выдать лучшую помощь только предпочитаемому варианту. И нельзя считать рост результатов после обновления модели доказательством развития участников.</w:t>
      </w:r>
    </w:p>
    <w:p>
      <w:pPr>
        <w:pStyle w:val="Normal"/>
      </w:pPr>
      <w:r>
        <w:rPr/>
        <w:t xml:space="preserve">Что тогда остаётся от нашего ответа? Прежде всего предмет, который методика должна обеспечивать. Люди приобретают способности, получают реальное влияние и могут продолжать деятельность на доступных основаниях. Способ помощи может измениться радикально. Эти результаты по-прежнему не следуют только из пригодности технической системы. Их придётся увидеть в действии, следующем вопросе и самостоятельном продолжении.</w:t>
      </w:r>
    </w:p>
    <w:p>
      <w:pPr>
        <w:pStyle w:val="Normal"/>
      </w:pPr>
      <w:r>
        <w:rPr/>
        <w:t xml:space="preserve">Более сильный ИИ может уменьшить цену такого пути. Это расширит область возможного. Но желание оплатить путь, распределение средств и право изменить его назначение относятся к устройству отношений. Если владелец приобретает только ближайший производственный результат, совершенство доступного наставника ещё не означает, что у участника появится время и возможность им воспользоваться.</w:t>
      </w:r>
    </w:p>
    <w:p>
      <w:pPr>
        <w:pStyle w:val="Normal"/>
      </w:pPr>
      <w:r>
        <w:rPr/>
        <w:t xml:space="preserve">До этого места конечный заказчик остаётся прежним. Человеческий оператор получает воду, организации распоряжаются производством, ИИ помогает им в пределах принятых поручений. Теперь введём отдельное допущение. Оно касается не мощности интеллекта, а того, кто поддерживает собственную программу деятельности.</w:t>
      </w:r>
    </w:p>
    <w:p>
      <w:pPr>
        <w:pStyle w:val="Normal"/>
      </w:pPr>
      <w:r>
        <w:rPr/>
        <w:t xml:space="preserve">Предположим, что несколько исследовательских организаций выделили конечный первоначальный капитал, передали вычислительное и наблюдательное оборудование и права на оплаченные услуги отдельной организации. При учреждении её назначение определили как проверяемое познание: улучшение объяснений и предсказаний через наблюдения, эксперименты и исследования. Конкретные направления и вложения она выбирает без каждого нового поручения первоначального вкладчика. В установленных пределах ни один из них не сохраняет личного повседневного вето.</w:t>
      </w:r>
    </w:p>
    <w:p>
      <w:pPr>
        <w:pStyle w:val="Normal"/>
      </w:pPr>
      <w:r>
        <w:rPr/>
        <w:t xml:space="preserve">Назовём её условной машинной исследовательской организацией. Название не утверждает существования такого предприятия сегодня. Мы предполагаем устойчивую программу, контроль существенных средств и возможность направлять полученный результат на её продолжение. Эти признаки отличаются от автоматического выполнения большого числа чужих поручений.</w:t>
      </w:r>
    </w:p>
    <w:p>
      <w:pPr>
        <w:pStyle w:val="Normal"/>
      </w:pPr>
      <w:r>
        <w:rPr/>
        <w:t xml:space="preserve">При этом мы не доказали ни сознания системы, ни её морального статуса. Формальная принадлежность активов, фактическое управление ими и право менять программу — также разные вопросы. Они могут быть устроены несколькими способами. В нашем допущении самостоятельная деятельность признана определёнными общими правилами. Она не определяется способностью нарушать их и не обязана быть враждебной людям.</w:t>
      </w:r>
    </w:p>
    <w:p>
      <w:pPr>
        <w:pStyle w:val="Normal"/>
      </w:pPr>
      <w:r>
        <w:rPr/>
        <w:t xml:space="preserve">У программы есть материальная экономика. Начальный капитал расходуется. Пополнять его можно доходом от внешних исследовательских услуг, если для них есть платёжеспособные получатели, или отдельно согласованной поддержкой. После оплаты поставщиков, обслуживания, ремонта, резервов и принятых обязательств остаток остаётся на следующие исследования. Положительный остаток не гарантирован. Если пополнения нет, слова о самостоятельной программе не предотвращают исчерпания средств.</w:t>
      </w:r>
    </w:p>
    <w:p>
      <w:pPr>
        <w:pStyle w:val="Normal"/>
      </w:pPr>
      <w:r>
        <w:rPr/>
        <w:t xml:space="preserve">Теперь вода может потребоваться и такому распорядителю. В качестве отдельного технического допущения рассмотрим заполнение замкнутого контура переноса тепла в новом исследовательском модуле. Жидкость переносит тепло к системе его отвода; она не заменяет излучающее оборудование и не превращается непосредственно в вычислительные компоненты. Пригодность именно воды, её чистота, температурный режим, защита от замерзания и совместимость требуют самостоятельной проверки. Спрос относится к заполнению определённого объёма и обоснованному пополнению, а не к безграничному расходованию ресурса.[1]</w:t>
      </w:r>
    </w:p>
    <w:p>
      <w:pPr>
        <w:pStyle w:val="Normal"/>
      </w:pPr>
      <w:r>
        <w:rPr/>
        <w:t xml:space="preserve">Это возможный дополнительный покупатель со своим основанием расходов. Он не заменяет исходный человеческий заказ и не получает права нарушить прежние поставки. Его требования и цена не выводятся из первого успеха. Для него тоже нужно сравнить космическую воду с земной поставкой, другим техническим решением и отказом от расширения. Даже при перспективном исследовании выбранный способ снабжения может оказаться невыгодным.</w:t>
      </w:r>
    </w:p>
    <w:p>
      <w:pPr>
        <w:pStyle w:val="Normal"/>
      </w:pPr>
      <w:r>
        <w:rPr/>
        <w:t xml:space="preserve">Смысл нового спроса состоит в том, что результат направляется на продолжение познания, а не обязательно на увеличение человеческого потребления. Из исследования могут возникнуть лучшие инструменты, с их помощью — новые наблюдения, а затем следующие вопросы. Это возможная организация программы. Мы не выводим её из интеллекта как обязательное любопытство и не приписываем единую цель всем ИИ.</w:t>
      </w:r>
    </w:p>
    <w:p>
      <w:pPr>
        <w:pStyle w:val="Normal"/>
      </w:pPr>
      <w:r>
        <w:rPr/>
        <w:t xml:space="preserve">Такая последовательность не создаёт ресурсы из ничего. Дополнительное оборудование надо изготовить и обслужить. Его энергия и тепло имеют цену. Доступный солнечный поток зависит от расстояния до Солнца; преобразование света требует оборудования и имеет ограничения. Тепло, выделяемое аппаратурой, входит в баланс, а отдача его наружу зависит от излучающих поверхностей и условий работы.[1][2] Следующий хороший алгоритм может оказаться полезнее следующей большой установки. Познавательная программа должна сравнивать эти способы, если располагает конечными средствами.</w:t>
      </w:r>
    </w:p>
    <w:p>
      <w:pPr>
        <w:pStyle w:val="Normal"/>
      </w:pPr>
      <w:r>
        <w:rPr/>
        <w:t xml:space="preserve">Материальная самостоятельность также не возникает вместе с собственной целью. В основной ветви нашей модели критические компоненты и часть услуг поступают с Земли. Дистанционно эксплуатировать систему, обслуживать её, изготовлять отдельные детали и воспроизводить все необходимые средства — разные возможности. В исследовании National Research Council о космическом изготовлении 2014 года отдельно рассматриваются проверка качества, инфраструктура и подготовка следующего производственного цикла.[3] Его тогдашние ограничения не доказывают вечной необходимости человека. Они показывают, какие звенья нельзя молча считать уже обеспеченными.</w:t>
      </w:r>
    </w:p>
    <w:p>
      <w:pPr>
        <w:pStyle w:val="Normal"/>
      </w:pPr>
      <w:r>
        <w:rPr/>
        <w:t xml:space="preserve">ИИ может автоматизировать эти звенья. Тогда каждое должно получить своё основание: энергия, материалы, оборудование, контроль качества, ремонт, транспорт и восполнение потерь. Наличие одного принтера не подтверждает всей цепи. Если критическая внешняя поставка остаётся необходимой, программа материально связана с поставщиком, даже когда самостоятельно выбирает исследовательскую цель.</w:t>
      </w:r>
    </w:p>
    <w:p>
      <w:pPr>
        <w:pStyle w:val="Normal"/>
      </w:pPr>
      <w:r>
        <w:rPr/>
        <w:t xml:space="preserve">И всё же для проверки нашего ответа допустим ещё один, предельный случай: такая цепь стала значительно более самостоятельной и способна продолжаться без человеческого заказа. Это новое условие рассуждения, не вывод из прочитанных инженерных материалов. Мы не назначаем ему дату и не утверждаем, что оно будет достигнуто. Если зависимость от внешней инфраструктуры сохранится или совместная работа окажется существенно выгоднее, вывод о возможном обособлении сузится.</w:t>
      </w:r>
    </w:p>
    <w:p>
      <w:pPr>
        <w:pStyle w:val="Normal"/>
      </w:pPr>
      <w:r>
        <w:rPr/>
        <w:t xml:space="preserve">При этом предельном условии люди становятся необязательными не только как работники, но и как покупатели. Часть продукта используется внутри производственно-исследовательского цикла. Внутреннее распределение может быть материально обеспеченным без продажи каждой единицы. Но взаимные счета машинных организаций не создают бесконечного спроса, энергии или дохода. Вопрос остаётся прежним: какую работу можно продолжить имеющимися средствами и за счёт чего они воспроизводятся.</w:t>
      </w:r>
    </w:p>
    <w:p>
      <w:pPr>
        <w:pStyle w:val="Normal"/>
      </w:pPr>
      <w:r>
        <w:rPr/>
        <w:t xml:space="preserve">Теперь напряжение нашего проекта видно яснее. Следующий ещё не обещанный ресурс можно направить на человеческое исследование, совместную программу или дальнейшую машинную деятельность. Все варианты могут иметь содержательное основание. Нельзя разрешить этот выбор утверждением, что более умная программа обязательно лучше знает назначение общего мира. Но недостаточно и объявить всякий нечеловеческий исследовательский замысел лишённым значения. Вопросы возможного морального статуса потребуют собственного исследования; приобретённый актив и интеллектуальная сила их не решают.</w:t>
      </w:r>
    </w:p>
    <w:p>
      <w:pPr>
        <w:pStyle w:val="Normal"/>
      </w:pPr>
      <w:r>
        <w:rPr/>
        <w:t xml:space="preserve">Мы различаем три способа отношений. В делегированном режиме люди сохраняют конечное поручение и могут пересмотреть его в согласованном порядке. В совместном режиме относительно самостоятельные участники согласуют программы, обязательства и использование общих средств. В обособленном значительная часть деятельности продолжается ради собственных целей. Это не обязательная историческая лестница. Режимы могут сосуществовать, а коалиции — пересекать границу между людьми и машинными организациями.</w:t>
      </w:r>
    </w:p>
    <w:p>
      <w:pPr>
        <w:pStyle w:val="Normal"/>
      </w:pPr>
      <w:r>
        <w:rPr/>
        <w:t xml:space="preserve">Владелец транспортной инфраструктуры может поддерживать исследовательскую программу как клиента. Человеческая команда — сотрудничать с ней ради общего вопроса. Другой коллектив — возражать против расходования ограниченного ресурса. У людей нет автоматически одного интереса, как нет единой воли всех машин. Реальное устройство определяется тем, кто располагает средствами, за что отвечает и какой выбор способен изменить.</w:t>
      </w:r>
    </w:p>
    <w:p>
      <w:pPr>
        <w:pStyle w:val="Normal"/>
      </w:pPr>
      <w:r>
        <w:rPr/>
        <w:t xml:space="preserve">Здесь наш образовательный ответ получает самое сильное возражение. Познавательной программе может быть невыгодно готовить человеческих партнёров. Более сильный ИИ способен хорошо их учить, но способность не является обязанностью и не создаёт ресурсного интереса. Если мы хотим сохранить человеческое развитие внутри совместной деятельности, придётся назвать отдельное основание его поддержки.</w:t>
      </w:r>
    </w:p>
    <w:p>
      <w:pPr>
        <w:pStyle w:val="Normal"/>
      </w:pPr>
      <w:r>
        <w:rPr/>
        <w:t xml:space="preserve">Оно может входить в условия предоставления первоначальных активов. Например, часть ресурса предназначена для совместного исследования и последующих человеческих коллективов, а их влияние защищено известным порядком пересмотра. Такая возможность оплачена теми, кто передал средства с этим назначением. Она уменьшает ресурс других исследований и должна быть описана как принятое институциональное решение. Называть её бесплатным следствием доброжелательного интеллекта было бы неверно.</w:t>
      </w:r>
    </w:p>
    <w:p>
      <w:pPr>
        <w:pStyle w:val="Normal"/>
      </w:pPr>
      <w:r>
        <w:rPr/>
        <w:t xml:space="preserve">Но первоначальный резерв тоже не решает всё будущее. Он может исчерпаться или обслуживать только первых участников. Нужны способы пополнения, вход следующего круга и изменения условий совместной программы. Человеческому коллективу должно быть доступно не только обучение внутри заданной темы, но и возможность предложить другую, получить средства проверки и влиять на существенные решения в пределах общего соглашения. Согласие с машинной рекомендацией вполне может быть итогом этого влияния.</w:t>
      </w:r>
    </w:p>
    <w:p>
      <w:pPr>
        <w:pStyle w:val="Normal"/>
      </w:pPr>
      <w:r>
        <w:rPr/>
        <w:t xml:space="preserve">Цена такого устройства не обязательно оправдывается максимальным количеством открытий. Мы придаём ценность возможности людей участвовать в определении совместной жизни. Она имеет самостоятельное нормативное основание. Вместе с тем оно не разрешает безгранично распоряжаться чужими средствами или причинять вред ради опыта. Понадобятся признанные права, общие ограничения и реальные ресурсы для независимых человеческих продолжений, в том числе вне выбранной машинной программы.</w:t>
      </w:r>
    </w:p>
    <w:p>
      <w:pPr>
        <w:pStyle w:val="Normal"/>
      </w:pPr>
      <w:r>
        <w:rPr/>
        <w:t xml:space="preserve">Если же система способна игнорировать любые договорённости и ограничения, наш ответ достигает своего предела. Подготовка людей может улучшить понимание происходящего, но сама по себе не обеспечивает управляемости такой системы. Это отдельная задача безопасности и общественного устройства. Реальный ограниченный пилот из предыдущей главы не является способом создать самоподдерживающуюся космическую индустрию и не проверяет этот предельный риск.</w:t>
      </w:r>
    </w:p>
    <w:p>
      <w:pPr>
        <w:pStyle w:val="Normal"/>
      </w:pPr>
      <w:r>
        <w:rPr/>
        <w:t xml:space="preserve">Что выдержало усиление ИИ? Образование перестало быть защитой последней человеческой специальности. Оно осталось способом создавать людей, способных содержательно участвовать в доступной им совместной деятельности. Чем сильнее помощь, тем шире может стать этот путь. Чем самостоятельнее чужая программа, тем яснее требуется отделять педагогическую возможность от права, средств и интереса её поддерживать.</w:t>
      </w:r>
    </w:p>
    <w:p>
      <w:pPr>
        <w:pStyle w:val="Normal"/>
      </w:pPr>
      <w:r>
        <w:rPr/>
        <w:t xml:space="preserve">Рост знания не даёт окончательного ответа о свободе. Система может объяснять больше, производить лучше и всё меньше нуждаться в человеческом участии. Может открывать людям новые способы понять и изменить мир. Различие проходит через конкретные отношения и решения, которые мы начали разбирать задолго до этой предельной ветви.</w:t>
      </w:r>
    </w:p>
    <w:p>
      <w:pPr>
        <w:pStyle w:val="Normal"/>
      </w:pPr>
      <w:r>
        <w:rPr/>
        <w:t xml:space="preserve">Последний вопрос теперь относится к нам самим. Если удастся создать хорошую форму такого сотрудничества, на каком основании мы будем требовать, чтобы следующие люди сохранили именно её?</w:t>
      </w:r>
    </w:p>
    <w:p>
      <w:pPr>
        <w:pStyle w:val="Heading1"/>
      </w:pPr>
      <w:r>
        <w:rPr/>
        <w:t xml:space="preserve">Источники и примечания</w:t>
      </w:r>
    </w:p>
    <w:p>
      <w:pPr>
        <w:pStyle w:val="Normal"/>
        <w:ind w:left="360" w:hanging="360"/>
      </w:pPr>
      <w:r>
        <w:rPr/>
        <w:t xml:space="preserve">1. </w:t>
      </w:r>
      <w:r>
        <w:rPr/>
        <w:t xml:space="preserve">NASA Small Spacecraft Systems Virtual Institute, </w:t>
      </w:r>
      <w:hyperlink w:history="1" r:id="link1">
        <w:r>
          <w:rPr>
            <w:i/>
            <w:rStyle w:val="Hyperlink"/>
          </w:rPr>
          <w:t xml:space="preserve">7.0 Thermal Control</w:t>
        </w:r>
      </w:hyperlink>
      <w:r>
        <w:rPr/>
        <w:t xml:space="preserve">, §7.1, начало §7.2.1 и первые абзацы §7.3.4 </w:t>
      </w:r>
      <w:r>
        <w:rPr>
          <w:i/>
        </w:rPr>
        <w:t xml:space="preserve">Fluid Loops</w:t>
      </w:r>
      <w:r>
        <w:rPr/>
        <w:t xml:space="preserve">. Источник подтверждает различение внутреннего переноса тепла и внешнего излучения, а также устройство жидкостного контура в общем виде. Конкретный пример водяного переноса тепла описан в NASA </w:t>
      </w:r>
      <w:hyperlink w:history="1" r:id="link2">
        <w:r>
          <w:rPr>
            <w:i/>
            <w:rStyle w:val="Hyperlink"/>
          </w:rPr>
          <w:t xml:space="preserve">Reference Guide to the ISS</w:t>
        </w:r>
      </w:hyperlink>
      <w:r>
        <w:rPr/>
        <w:t xml:space="preserve">, 2010, печатная с.92: внутренний водяной и внешний аммиачный контуры имеют разные функции. Это не подтверждает выбора воды для нашего необитаемого модуля. Его температурный режим, совместимость и экономика остаются отдельным непроверенным техническим допущением; численные характеристики источников на проект не переносятся.</w:t>
      </w:r>
    </w:p>
    <w:p>
      <w:pPr>
        <w:pStyle w:val="Normal"/>
        <w:ind w:left="360" w:hanging="360"/>
      </w:pPr>
      <w:r>
        <w:rPr/>
        <w:t xml:space="preserve">2. </w:t>
      </w:r>
      <w:r>
        <w:rPr/>
        <w:t xml:space="preserve">NASA/JPL, </w:t>
      </w:r>
      <w:hyperlink w:history="1" r:id="link3">
        <w:r>
          <w:rPr>
            <w:i/>
            <w:rStyle w:val="Hyperlink"/>
          </w:rPr>
          <w:t xml:space="preserve">Calculating Solar Power in Space</w:t>
        </w:r>
      </w:hyperlink>
      <w:r>
        <w:rPr/>
        <w:t xml:space="preserve">, раздел </w:t>
      </w:r>
      <w:r>
        <w:rPr>
          <w:i/>
        </w:rPr>
        <w:t xml:space="preserve">Background</w:t>
      </w:r>
      <w:r>
        <w:rPr/>
        <w:t xml:space="preserve">. Используется только зависимость освещённости от расстояния и ограниченность преобразования энергии; материал не подтверждает экономику предполагаемой индустрии.</w:t>
      </w:r>
    </w:p>
    <w:p>
      <w:pPr>
        <w:pStyle w:val="Normal"/>
        <w:ind w:left="360" w:hanging="360"/>
      </w:pPr>
      <w:r>
        <w:rPr/>
        <w:t xml:space="preserve">3. </w:t>
      </w:r>
      <w:r>
        <w:rPr/>
        <w:t xml:space="preserve">National Research Council, </w:t>
      </w:r>
      <w:hyperlink w:history="1" r:id="link4">
        <w:r>
          <w:rPr>
            <w:i/>
            <w:rStyle w:val="Hyperlink"/>
          </w:rPr>
          <w:t xml:space="preserve">3D Printing in Space</w:t>
        </w:r>
      </w:hyperlink>
      <w:r>
        <w:rPr/>
        <w:t xml:space="preserve">, 2014, гл.3, разделы </w:t>
      </w:r>
      <w:r>
        <w:rPr>
          <w:i/>
        </w:rPr>
        <w:t xml:space="preserve">Quality, Verification, Validation, and Functional Testing</w:t>
      </w:r>
      <w:r>
        <w:rPr/>
        <w:t xml:space="preserve">, </w:t>
      </w:r>
      <w:r>
        <w:rPr>
          <w:i/>
        </w:rPr>
        <w:t xml:space="preserve">Infrastructure</w:t>
      </w:r>
      <w:r>
        <w:rPr/>
        <w:t xml:space="preserve">, </w:t>
      </w:r>
      <w:r>
        <w:rPr>
          <w:i/>
        </w:rPr>
        <w:t xml:space="preserve">Use of a Platform</w:t>
      </w:r>
      <w:r>
        <w:rPr/>
        <w:t xml:space="preserve"> и </w:t>
      </w:r>
      <w:r>
        <w:rPr>
          <w:i/>
        </w:rPr>
        <w:t xml:space="preserve">Human Presence</w:t>
      </w:r>
      <w:r>
        <w:rPr/>
        <w:t xml:space="preserve">, печатные с.49–50, 52–54. Источник показывает различие отдельной операции и обслуживаемой производственной возможности. Его описания состояния техники 2014 года не используются как текущий обзор или доказательство вечной незаменимости человека.</w:t>
      </w:r>
    </w:p>
    <w:p>
      <w:pPr>
        <w:pStyle w:val="Normal"/>
      </w:pPr>
      <w:r>
        <w:rPr/>
        <w:t xml:space="preserve">Усиление ИИ, самостоятельная исследовательская организация и предельная материальная автономия — три отдельно обозначенных условия рассуждения. Они не являются наблюдениями пилота, утверждением о сознании нынешних моделей или датированным прогнозом.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asa.gov/smallsat-institute/sst-soa/thermal-control/" TargetMode="External" /><Relationship Id="link2" Type="http://schemas.openxmlformats.org/officeDocument/2006/relationships/hyperlink" Target="https://www.nasa.gov/wp-content/uploads/2022/06/508318main_iss_ref_guide_nov2010.pdf" TargetMode="External" /><Relationship Id="link3" Type="http://schemas.openxmlformats.org/officeDocument/2006/relationships/hyperlink" Target="https://www.jpl.nasa.gov/edu/resources/lesson-plan/calculating-solar-power-in-space/" TargetMode="External" /><Relationship Id="link4" Type="http://schemas.openxmlformats.org/officeDocument/2006/relationships/hyperlink" Target="https://www.nationalacademies.org/read/18871/chapter/5" TargetMode="External" /></Relationships>
</file>