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fig_1.10.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
  <Relationship Id="rId1"
    Type="http://schemas.openxmlformats.org/officedocument/2006/relationships/metadata/core-properties"
    Target="docProps/core.xml" />
  <Relationship Id="rId2"
    Type="http://schemas.openxmlformats.org/officeDocument/2006/relationships/extended-properties"
    Target="docProps/app.xml" />
  <Relationship Id="rId3"
    Type="http://schemas.openxmlformats.org/officeDocument/2006/relationships/officeDocument"
    Target="word/document.xml" 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body>
    <w:p>
      <w:pPr>
        <w:spacing w:line="480" w:lineRule="auto"/>
        <w:jc w:val="left"/>
        <w:sectPr>
          <w:pgSz w:h="16840" w:w="11900" w:orient="portrait"/>
          <w:titlePg/>
        </w:sectPr>
      </w:pPr>
      <w:r>
        <w:rPr>
          <w:b/>
          <w:sz w:val="30"/>
        </w:rPr>
        <w:t>Document Title: Test &lt;Report&gt; </w:t>
        <w:br/>
        <w:t>Author: Simon &amp; Bond's </w:t>
        <w:br/>
        <w:t>Date: 16:18 16 May 1987 </w:t>
      </w:r>
    </w:p>
    <w:p>
      <w:r>
        <w:br w:type="page"/>
      </w:r>
    </w:p>
    <w:p>
      <w:pPr>
        <w:jc w:val="center"/>
        <w:outlineLvl w:val="1"/>
      </w:pPr>
      <w:r>
        <w:t> Section: Baseline</w:t>
      </w:r>
    </w:p>
    <w:p>
      <w:pPr>
        <w:jc w:val="center"/>
        <w:outlineLvl w:val="2"/>
      </w:pPr>
      <w:bookmarkStart w:id="111" w:name="Table_111"/>
      <w:r>
        <w:t>Table</w:t>
        <w:t xml:space="preserve"> </w:t>
        <w:fldChar w:fldCharType="begin" w:fldLock="1"/>
        <w:instrText> SEQ Table \* ARABIC</w:instrText>
        <w:fldChar w:fldCharType="separate"/>
        <w:t>1.1.1</w:t>
        <w:t xml:space="preserve"> </w:t>
        <w:fldChar w:fldCharType="end"/>
      </w:r>
      <w:bookmarkEnd w:id="111"/>
      <w:r>
        <w:t>Summary Table</w:t>
      </w:r>
    </w:p>
    <w:p>
      <w:pPr>
        <w:jc w:val="center"/>
      </w:pPr>
      <w:r>
        <w:t>Note A</w:t>
        <w:br/>
      </w:r>
      <w:r>
        <w:t>Population: Safety (N = 100)</w:t>
      </w: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16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Statistics with a long line of text to check folding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40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90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 0.0602 (1.195)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 0.0257 (1.049)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0.075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0.045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-3.11, 2.44</w:t>
            </w:r>
          </w:p>
        </w:tc>
      </w:tr>
    </w:tbl>
    <w:p>
      <w:r>
        <w:t> fictitious data </w:t>
      </w:r>
    </w:p>
    <w:p>
      <w:pPr>
        <w:sectPr>
          <w:headerReference w:type="default" r:id="rId7"/>
          <w:footerReference w:type="default" r:id="rId12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r>
        <w:br w:type="page"/>
      </w:r>
    </w:p>
    <w:p>
      <w:pPr>
        <w:jc w:val="center"/>
        <w:outlineLvl w:val="1"/>
      </w:pPr>
      <w:r>
        <w:t> Section: NA</w:t>
      </w:r>
    </w:p>
    <w:p>
      <w:pPr>
        <w:jc w:val="center"/>
        <w:outlineLvl w:val="2"/>
      </w:pPr>
      <w:bookmarkStart w:id="112" w:name="Table_112"/>
      <w:r>
        <w:t>Table</w:t>
        <w:t xml:space="preserve"> </w:t>
        <w:fldChar w:fldCharType="begin" w:fldLock="1"/>
        <w:instrText> SEQ Table \* ARABIC</w:instrText>
        <w:fldChar w:fldCharType="separate"/>
        <w:t>1.1.2</w:t>
        <w:t xml:space="preserve"> </w:t>
        <w:fldChar w:fldCharType="end"/>
      </w:r>
      <w:bookmarkEnd w:id="112"/>
      <w:r>
        <w:t>NA</w:t>
      </w:r>
    </w:p>
    <w:p>
      <w:pPr>
        <w:jc w:val="center"/>
      </w:pP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20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Statistics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40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90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0.0602 (1.195)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0.0257 (1.049)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0.075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0.045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-3.11, 2.44</w:t>
            </w:r>
          </w:p>
        </w:tc>
      </w:tr>
    </w:tbl>
    <w:p>
      <w:r>
        <w:t>  </w:t>
      </w:r>
    </w:p>
    <w:p>
      <w:pPr>
        <w:sectPr>
          <w:headerReference w:type="default" r:id="rId8"/>
          <w:footerReference w:type="default" r:id="rId13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r>
        <w:br w:type="page"/>
      </w:r>
    </w:p>
    <w:p>
      <w:pPr>
        <w:jc w:val="center"/>
        <w:outlineLvl w:val="1"/>
      </w:pPr>
      <w:r>
        <w:t> Section: Baseline</w:t>
      </w:r>
    </w:p>
    <w:p>
      <w:pPr>
        <w:jc w:val="center"/>
        <w:outlineLvl w:val="2"/>
      </w:pPr>
      <w:bookmarkStart w:id="11" w:name="Table_11"/>
      <w:r>
        <w:t>Table</w:t>
        <w:t xml:space="preserve"> </w:t>
        <w:fldChar w:fldCharType="begin" w:fldLock="1"/>
        <w:instrText> SEQ Table \* ARABIC</w:instrText>
        <w:fldChar w:fldCharType="separate"/>
        <w:t>1.1</w:t>
        <w:t xml:space="preserve"> </w:t>
        <w:fldChar w:fldCharType="end"/>
      </w:r>
      <w:bookmarkEnd w:id="11"/>
      <w:r>
        <w:t>Summary Table</w:t>
      </w:r>
    </w:p>
    <w:p>
      <w:pPr>
        <w:jc w:val="center"/>
      </w:pPr>
      <w:r>
        <w:t>Population: Full Analysis (N = 90)</w:t>
      </w: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20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Statistics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100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0.0490 (1.125)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0.0235 (1.026)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-3.11, 2.44</w:t>
            </w:r>
          </w:p>
        </w:tc>
      </w:tr>
    </w:tbl>
    <w:p>
      <w:r>
        <w:t> fictitious data </w:t>
      </w:r>
    </w:p>
    <w:p>
      <w:pPr>
        <w:sectPr>
          <w:headerReference w:type="default" r:id="rId9"/>
          <w:footerReference w:type="default" r:id="rId14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pPr>
        <w:jc w:val="center"/>
        <w:outlineLvl w:val="2"/>
      </w:pPr>
      <w:bookmarkStart w:id="110" w:name="Figure_110"/>
      <w:r>
        <w:t>Figure</w:t>
        <w:t xml:space="preserve"> </w:t>
        <w:fldChar w:fldCharType="begin" w:fldLock="1"/>
        <w:instrText> SEQ Figure \* ARABIC</w:instrText>
        <w:fldChar w:fldCharType="separate"/>
        <w:t>1.10</w:t>
        <w:t xml:space="preserve"> </w:t>
        <w:fldChar w:fldCharType="end"/>
      </w:r>
      <w:bookmarkEnd w:id="110"/>
      <w:r>
        <w:t>Summary Figure</w:t>
      </w:r>
    </w:p>
    <w:p>
      <w:pPr>
        <w:jc w:val="center"/>
      </w:pPr>
      <w:r>
        <w:t>Note B</w:t>
        <w:br/>
      </w:r>
      <w:r>
        <w:t>Population: Full Analysis (N = 90)</w:t>
      </w:r>
    </w:p>
    <w:p>
      <w:pPr>
        <w:jc w:val="center"/>
      </w:pPr>
      <w:r>
        <w:drawing>
          <wp:inline distT="0" distB="0" distL="0" distR="0">
            <wp:extent cx="6677025" cy="47244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hq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  </w:t>
      </w:r>
    </w:p>
    <w:p>
      <w:pPr>
        <w:sectPr>
          <w:headerReference w:type="default" r:id="rId10"/>
          <w:footerReference w:type="default" r:id="rId15"/>
          <w:type w:val="continuous"/>
          <w:pgSz w:w="16840" w:h="11900" w:orient="landscape"/>
          <w:pgMar w:top="1440" w:right="1800" w:bottom="1440" w:left="1800" w:header="720" w:footer="720" w:gutter="0"/>
          <w:cols w:space="720"/>
        </w:sectPr>
      </w:pPr>
    </w:p>
    <w:p>
      <w:pPr>
        <w:jc w:val="center"/>
        <w:outlineLvl w:val="1"/>
      </w:pPr>
      <w:r>
        <w:t> Section: Safety</w:t>
      </w:r>
    </w:p>
    <w:p>
      <w:pPr>
        <w:jc w:val="center"/>
        <w:outlineLvl w:val="2"/>
      </w:pPr>
      <w:bookmarkStart w:id="21" w:name="Table_21"/>
      <w:r>
        <w:t>Table</w:t>
        <w:t xml:space="preserve"> </w:t>
        <w:fldChar w:fldCharType="begin" w:fldLock="1"/>
        <w:instrText> SEQ Table \* ARABIC</w:instrText>
        <w:fldChar w:fldCharType="separate"/>
        <w:t>2.1</w:t>
        <w:t xml:space="preserve"> </w:t>
        <w:fldChar w:fldCharType="end"/>
      </w:r>
      <w:bookmarkEnd w:id="21"/>
      <w:r>
        <w:t>Deaths</w:t>
      </w:r>
    </w:p>
    <w:p>
      <w:pPr>
        <w:jc w:val="center"/>
      </w:pPr>
      <w:r>
        <w:t>Population: Full Analysis (N = 90)</w:t>
      </w:r>
    </w:p>
    <w:p>
      <w:pPr>
        <w:jc w:val="center"/>
      </w:pPr>
      <w:r>
        <w:t/>
        <w:br/>
        <w:t> There were no deaths </w:t>
      </w:r>
    </w:p>
    <w:p>
      <w:r>
        <w:t>  </w:t>
      </w:r>
    </w:p>
    <w:p>
      <w:pPr/>
    </w:p>
    <w:sectPr>
      <w:headerReference w:type="default" r:id="rId11"/>
      <w:footerReference w:type="default" r:id="rId16"/>
      <w:type w:val="continuous"/>
      <w:pgSz w:h="16840" w:w="1190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charset w:val="86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/home/rstudio/work/cctu/tests/testthat/analysis.R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/home/rstudio/work/cctu/tests/testthat/analysis.R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/home/rstudio/work/cctu/tests/testthat/analysis.R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/home/rstudio/work/cctu/tests/testthat/analysis.R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/home/rstudio/work/cctu/tests/testthat/analysis.R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NA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Safety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pBdr>
        <w:bottom w:val="single" w:sz="4" w:space="1" w:color="000000"/>
      </w:pBdr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Arial" w:hAnsi="Arial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Arial" w:hAnsi="Arial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HeaderandFooter">
    <w:name w:val="Header and Footer"/>
    <w:basedOn w:val="Normal"/>
    <w:qFormat/>
    <w:pPr/>
    <w:rPr>
      <w:sz w:val="20"/>
    </w:rPr>
  </w:style>
  <w:style w:type="paragraph" w:styleId="Header">
    <w:name w:val="Header"/>
    <w:basedOn w:val="HeaderandFooter"/>
    <w:pPr/>
    <w:rPr>
      <w:sz w:val="20"/>
    </w:rPr>
  </w:style>
  <w:style w:type="paragraph" w:styleId="Footer">
    <w:name w:val="Footer"/>
    <w:basedOn w:val="HeaderandFooter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7" Type="http://schemas.openxmlformats.org/officeDocument/2006/relationships/header" Target="header1.xml"/>
  <Relationship Id="rId12" Type="http://schemas.openxmlformats.org/officeDocument/2006/relationships/footer" Target="footer1.xml"/>
  <Relationship Id="rId8" Type="http://schemas.openxmlformats.org/officeDocument/2006/relationships/header" Target="header2.xml"/>
  <Relationship Id="rId13" Type="http://schemas.openxmlformats.org/officeDocument/2006/relationships/footer" Target="footer2.xml"/>
  <Relationship Id="rId9" Type="http://schemas.openxmlformats.org/officeDocument/2006/relationships/header" Target="header3.xml"/>
  <Relationship Id="rId14" Type="http://schemas.openxmlformats.org/officeDocument/2006/relationships/footer" Target="footer3.xml"/>
  <Relationship Id="rId17" Type="http://schemas.openxmlformats.org/officeDocument/2006/relationships/image" Target="media/fig_1.10.png"/>
  <Relationship Id="rId10" Type="http://schemas.openxmlformats.org/officeDocument/2006/relationships/header" Target="header4.xml"/>
  <Relationship Id="rId15" Type="http://schemas.openxmlformats.org/officeDocument/2006/relationships/footer" Target="footer4.xml"/>
  <Relationship Id="rId11" Type="http://schemas.openxmlformats.org/officeDocument/2006/relationships/header" Target="header5.xml"/>
  <Relationship Id="rId16" Type="http://schemas.openxmlformats.org/officeDocument/2006/relationships/footer" Target="footer5.xml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110004020202020204" pitchFamily="0" charset="1"/>
        <a:ea typeface=""/>
        <a:cs typeface=""/>
      </a:majorFont>
      <a:minorFont>
        <a:latin typeface="Arial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Cambridge Clinical Trials Unit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&amp;lt;Report&amp;gt;</dc:title>
  <dc:subject/>
  <dc:creator>Simon &amp;amp; Bond&amp;apos;s</dc:creator>
  <cp:keywords/>
  <dc:description/>
  <cp:lastModifiedBy/>
  <cp:revision/>
  <dcterms:created xsi:type="dcterms:W3CDTF">1987-05-16T16:18:00+0100</dcterms:created>
  <dcterms:modified xsi:type="dcterms:W3CDTF"/>
</cp:coreProperties>
</file>