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Revised Target Architecture Handoff — Version 4</w:t>
      </w:r>
    </w:p>
    <w:p>
      <w:r>
        <w:t xml:space="preserve">Document type: authority_handoff</w:t>
      </w:r>
    </w:p>
    <w:p>
      <w:r>
        <w:t xml:space="preserve">Authority scope: integrated AI platform Phase 0-1 reconciliation</w:t>
      </w:r>
    </w:p>
    <w:p>
      <w:r>
        <w:t xml:space="preserve">Version: 4</w:t>
      </w:r>
    </w:p>
    <w:p>
      <w:r>
        <w:t xml:space="preserve">Status: superseded_by_v7</w:t>
      </w:r>
    </w:p>
    <w:p>
      <w:r>
        <w:t xml:space="preserve"/>
      </w:r>
    </w:p>
    <w:p>
      <w:r>
        <w:t xml:space="preserve">Authority Surfaces Declared (V4)</w:t>
      </w:r>
    </w:p>
    <w:p>
      <w:r>
        <w:t xml:space="preserve"/>
      </w:r>
    </w:p>
    <w:p>
      <w:r>
        <w:t xml:space="preserve">AS-V4-01 — Canonical Roadmap as Phase Authority</w:t>
      </w:r>
    </w:p>
    <w:p>
      <w:r>
        <w:t xml:space="preserve">Path: governance/canonical_roadmap.json</w:t>
      </w:r>
    </w:p>
    <w:p>
      <w:r>
        <w:t xml:space="preserve">Authority claim: The canonical_roadmap.json defines phases 0 through 7. Narrative roadmap documents in docs/ are advisory only and carry no binding authority.</w:t>
      </w:r>
    </w:p>
    <w:p>
      <w:r>
        <w:t xml:space="preserve">Ratified by: governance/authority_adr_0001_source_of_truth.md</w:t>
      </w:r>
    </w:p>
    <w:p>
      <w:r>
        <w:t xml:space="preserve"/>
      </w:r>
    </w:p>
    <w:p>
      <w:r>
        <w:t xml:space="preserve">AS-V4-02 — Schema Contract Registry as Module Authority</w:t>
      </w:r>
    </w:p>
    <w:p>
      <w:r>
        <w:t xml:space="preserve">Path: governance/schema_contract_registry.json</w:t>
      </w:r>
    </w:p>
    <w:p>
      <w:r>
        <w:t xml:space="preserve">Authority claim: The schema_contract_registry.json determines which framework modules are active vs legacy_frozen. Only active modules may receive new consumers.</w:t>
      </w:r>
    </w:p>
    <w:p>
      <w:r>
        <w:t xml:space="preserve"/>
      </w:r>
    </w:p>
    <w:p>
      <w:r>
        <w:t xml:space="preserve">AS-V4-03 — Tactical Family Lock as Extension Gate</w:t>
      </w:r>
    </w:p>
    <w:p>
      <w:r>
        <w:t xml:space="preserve">Path: governance/tactical_family_classification.json</w:t>
      </w:r>
    </w:p>
    <w:p>
      <w:r>
        <w:t xml:space="preserve">Authority claim: All six tactical families (eo, ed, mc, live_bridge, ort, pgs) remain locked until per-family unlock review packets are ratified.</w:t>
      </w:r>
    </w:p>
    <w:p>
      <w:r>
        <w:t xml:space="preserve"/>
      </w:r>
    </w:p>
    <w:p>
      <w:r>
        <w:t xml:space="preserve">Conflicts Identified in V4</w:t>
      </w:r>
    </w:p>
    <w:p>
      <w:r>
        <w:t xml:space="preserve">CONF-V4-01: Phase 0 has no closure record. Phases 1-7 were executed without formally ratifying Phase 0.</w:t>
      </w:r>
    </w:p>
    <w:p>
      <w:r>
        <w:t xml:space="preserve">CONF-V4-02: config/promotion_manifest.json predates governance authority and has not been formally retired.</w:t>
      </w:r>
    </w:p>
    <w:p>
      <w:r>
        <w:t xml:space="preserve"/>
      </w:r>
    </w:p>
    <w:p>
      <w:r>
        <w:t xml:space="preserve">Note: This document is superseded by V7. See revised_target_architecture_handoff_v7.docx.</w:t>
      </w:r>
    </w:p>
  </w:body>
</w:document>
</file>

<file path=word/_rels/document.xml.rels><?xml version="1.0" encoding="UTF-8" standalone="yes"?>
<Relationships xmlns="http://schemas.openxmlformats.org/package/2006/relationships">
</Relationships>
</file>