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496" w:rsidRPr="008D7BBE" w:rsidRDefault="007D5496" w:rsidP="007D5496">
      <w:pPr>
        <w:pStyle w:val="Caption"/>
        <w:widowControl w:val="0"/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SUPPLEMENTARY MATERIAL</w:t>
      </w:r>
      <w:r w:rsidRPr="00993F2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FA407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Raw data used in our analysis</w:t>
      </w:r>
      <w:r w:rsidRPr="00CD78A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describing the frequency of bird strikes (strikes), body mass, wing loading</w:t>
      </w:r>
      <w:r w:rsidRPr="001F3AB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(WL)</w:t>
      </w:r>
      <w:r w:rsidRPr="007D3AB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, brain mass (BM), aspect ratio (Aspect)</w:t>
      </w:r>
      <w:r w:rsidRPr="00DD10A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and eye axial length (EAL) for 54 species of birds with bird strikes records obtained from the Federal Aviation</w:t>
      </w:r>
      <w:r w:rsidRPr="008D7BB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Administration database on bird-aircraft collisions. </w:t>
      </w:r>
    </w:p>
    <w:tbl>
      <w:tblPr>
        <w:tblStyle w:val="TableGrid1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1"/>
        <w:gridCol w:w="969"/>
        <w:gridCol w:w="1080"/>
        <w:gridCol w:w="1350"/>
        <w:gridCol w:w="1080"/>
        <w:gridCol w:w="990"/>
        <w:gridCol w:w="1458"/>
      </w:tblGrid>
      <w:tr w:rsidR="007D5496" w:rsidRPr="00993F27" w:rsidTr="007357EB">
        <w:trPr>
          <w:trHeight w:val="285"/>
        </w:trPr>
        <w:tc>
          <w:tcPr>
            <w:tcW w:w="2631" w:type="dxa"/>
            <w:tcBorders>
              <w:top w:val="single" w:sz="4" w:space="0" w:color="auto"/>
              <w:bottom w:val="single" w:sz="8" w:space="0" w:color="auto"/>
            </w:tcBorders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Species</w:t>
            </w:r>
          </w:p>
        </w:tc>
        <w:tc>
          <w:tcPr>
            <w:tcW w:w="969" w:type="dxa"/>
            <w:tcBorders>
              <w:top w:val="single" w:sz="4" w:space="0" w:color="auto"/>
              <w:bottom w:val="single" w:sz="8" w:space="0" w:color="auto"/>
            </w:tcBorders>
            <w:noWrap/>
            <w:hideMark/>
          </w:tcPr>
          <w:p w:rsidR="007D5496" w:rsidRPr="00752D04" w:rsidRDefault="007D5496" w:rsidP="007357EB">
            <w:pPr>
              <w:widowControl w:val="0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Strikes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auto"/>
            </w:tcBorders>
            <w:noWrap/>
            <w:hideMark/>
          </w:tcPr>
          <w:p w:rsidR="007D5496" w:rsidRPr="00752D04" w:rsidRDefault="007D5496" w:rsidP="007357EB">
            <w:pPr>
              <w:widowControl w:val="0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Mass</w:t>
            </w:r>
            <w:r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(g)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8" w:space="0" w:color="auto"/>
            </w:tcBorders>
            <w:noWrap/>
            <w:hideMark/>
          </w:tcPr>
          <w:p w:rsidR="007D5496" w:rsidRPr="00752D04" w:rsidRDefault="007D5496" w:rsidP="007357EB">
            <w:pPr>
              <w:widowControl w:val="0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WL (N/m</w:t>
            </w:r>
            <w:r w:rsidRPr="00752D04">
              <w:rPr>
                <w:rFonts w:ascii="Times New Roman" w:eastAsia="Calibri" w:hAnsi="Times New Roman" w:cs="Times New Roman"/>
                <w:color w:val="000000" w:themeColor="text1"/>
                <w:vertAlign w:val="superscript"/>
              </w:rPr>
              <w:t>2</w:t>
            </w: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auto"/>
            </w:tcBorders>
            <w:noWrap/>
            <w:hideMark/>
          </w:tcPr>
          <w:p w:rsidR="007D5496" w:rsidRPr="00752D04" w:rsidRDefault="007D5496" w:rsidP="007357EB">
            <w:pPr>
              <w:widowControl w:val="0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BM (g)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8" w:space="0" w:color="auto"/>
            </w:tcBorders>
            <w:noWrap/>
            <w:hideMark/>
          </w:tcPr>
          <w:p w:rsidR="007D5496" w:rsidRPr="00752D04" w:rsidRDefault="007D5496" w:rsidP="007357EB">
            <w:pPr>
              <w:widowControl w:val="0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Aspect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8" w:space="0" w:color="auto"/>
            </w:tcBorders>
            <w:noWrap/>
            <w:hideMark/>
          </w:tcPr>
          <w:p w:rsidR="007D5496" w:rsidRPr="00752D04" w:rsidRDefault="007D5496" w:rsidP="007357EB">
            <w:pPr>
              <w:widowControl w:val="0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EAL</w:t>
            </w:r>
            <w:r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(mm)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Anas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platyrhynchos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1170.50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113.763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5.881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8.610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12.10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Branta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canadensis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3564.00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111.944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10.780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8.511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13.50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Phalacrocorax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auritus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1960.00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101.625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10.423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15.00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Grus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canadensis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3166.00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84.723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15.500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22.30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Mycteria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americana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2558.50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72.444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22.300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6.776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Aquila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chrysaetos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4263.50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71.945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18.690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7.430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29.55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Pelecanus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occidentalis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3438.00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70.632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24.200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10.568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22.50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Larus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marinus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1658.50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68.707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7.775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11.429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20.90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Falco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peregrinus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697.50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63.680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6.788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8.831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20.50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Eudocimus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albus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900.00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63.533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7.500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7.178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12.40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Bubo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virginianus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1354.50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57.943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14.900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6.577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34.55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Columba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livia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32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354.50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55.208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2.312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7.178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9.40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Larus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argentatus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11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1085.00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54.075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4.467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10.691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18.20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Sturnella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magna</w:t>
            </w:r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31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89.00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53.623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2.300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10.15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Ardea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herodias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2295.00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50.350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8.872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7.674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20.90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Buteo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jamaicensis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26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1126.00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50.350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9.900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7.396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22.80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Limnodromus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griseus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113.00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48.865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1.380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10.965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8.80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Pandion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haliaetus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13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1485.50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47.753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11.401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7.464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Larus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fuscus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766.25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46.345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5.291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10.789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19.00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lastRenderedPageBreak/>
              <w:t>Streptopelia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decaocto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149.00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44.668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1.509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6.442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9.30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tcBorders>
              <w:top w:val="single" w:sz="8" w:space="0" w:color="auto"/>
            </w:tcBorders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Accipiter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cooperii</w:t>
            </w:r>
            <w:proofErr w:type="spellEnd"/>
          </w:p>
        </w:tc>
        <w:tc>
          <w:tcPr>
            <w:tcW w:w="969" w:type="dxa"/>
            <w:tcBorders>
              <w:top w:val="single" w:sz="8" w:space="0" w:color="auto"/>
            </w:tcBorders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439.00</w:t>
            </w:r>
          </w:p>
        </w:tc>
        <w:tc>
          <w:tcPr>
            <w:tcW w:w="1350" w:type="dxa"/>
            <w:tcBorders>
              <w:top w:val="single" w:sz="8" w:space="0" w:color="auto"/>
            </w:tcBorders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42.560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4.869</w:t>
            </w:r>
          </w:p>
        </w:tc>
        <w:tc>
          <w:tcPr>
            <w:tcW w:w="990" w:type="dxa"/>
            <w:tcBorders>
              <w:top w:val="single" w:sz="8" w:space="0" w:color="auto"/>
            </w:tcBorders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3.793</w:t>
            </w:r>
          </w:p>
        </w:tc>
        <w:tc>
          <w:tcPr>
            <w:tcW w:w="1458" w:type="dxa"/>
            <w:tcBorders>
              <w:top w:val="single" w:sz="8" w:space="0" w:color="auto"/>
            </w:tcBorders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18.00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Corvus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brachyrhynchos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506.00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38.194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7.430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5.702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Sturnus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vulgaris</w:t>
            </w:r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127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86.00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37.844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1.787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7.096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7.96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Zenaida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macroura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227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119.00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35.645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1.191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5.848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8.68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Quiscalus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quiscula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106.10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35.318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2.680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4.315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9.16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Scolopax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minor</w:t>
            </w:r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197.50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35.237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2.093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11.70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Larus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delawarensis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518.50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34.594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4.436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12.190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16.55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Melopsittacus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undulatus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29.00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34.198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1.111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7.328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6.90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Turdus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migratorius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13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78.50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32.961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1.950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6.457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9.50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Actitis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macularius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40.40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31.884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0.704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7.30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Falco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sparverius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121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119.00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31.333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2.700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8.091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11.98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Passer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domesticus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27.70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30.832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0.968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5.929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6.23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Ammodramus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savannarum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17.00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30.409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0.670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4.467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Melospiza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melodia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20.00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30.409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0.960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3.724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6.53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Charadrius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vociferus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80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96.55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30.291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1.200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10.60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Lanius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ludovicianus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51.75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29.174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1.590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6.427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Molothrus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ater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43.40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28.445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1.190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4.645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7.21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Bubulcus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ibis</w:t>
            </w:r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19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366.00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28.119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3.954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7.762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13.10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Sterna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hirundo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120.00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27.040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1.486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14.158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12.20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Agelaius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phoeniceus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16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52.40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25.704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1.750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5.458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7.47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Dumetella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carolinensis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35.30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25.235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1.180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5.188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7.77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Mimus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polyglottos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48.50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23.878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1.430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6.067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Bombycilla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cedrorum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31.60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23.335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0.922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7.311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lastRenderedPageBreak/>
              <w:t>Riparia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riparia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13.45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23.227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0.354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9.908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5.28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Tyto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alba</w:t>
            </w:r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22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520.00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23.227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6.068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7.261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17.80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Progne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subis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53.80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22.751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1.070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9.057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9.20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Pheucticus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melanocephalus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47.15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21.903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Eremophila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alpestris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406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31.20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20.701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0.920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6.166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7.38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Passerculus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sandwichensis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20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20.05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20.559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0.700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4.395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Passerina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cyanea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14.70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20.559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0.670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4.385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5.49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Chordeiles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minor</w:t>
            </w:r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79.30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19.770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0.881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9.908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12.30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Chaetura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pelagica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15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23.60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18.030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0.477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9.120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Tachycineta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bicolor</w:t>
            </w:r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21.20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17.620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0.570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7.379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8.20</w:t>
            </w:r>
          </w:p>
        </w:tc>
      </w:tr>
      <w:tr w:rsidR="007D5496" w:rsidRPr="00993F27" w:rsidTr="007357EB">
        <w:trPr>
          <w:trHeight w:val="285"/>
        </w:trPr>
        <w:tc>
          <w:tcPr>
            <w:tcW w:w="2631" w:type="dxa"/>
            <w:noWrap/>
            <w:hideMark/>
          </w:tcPr>
          <w:p w:rsidR="007D5496" w:rsidRPr="00752D04" w:rsidRDefault="007D5496" w:rsidP="007357EB">
            <w:pPr>
              <w:widowControl w:val="0"/>
              <w:rPr>
                <w:rFonts w:ascii="Times New Roman" w:eastAsia="Calibri" w:hAnsi="Times New Roman" w:cs="Times New Roman"/>
                <w:i/>
                <w:color w:val="000000" w:themeColor="text1"/>
              </w:rPr>
            </w:pP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Hirundo</w:t>
            </w:r>
            <w:proofErr w:type="spellEnd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752D04">
              <w:rPr>
                <w:rFonts w:ascii="Times New Roman" w:eastAsia="Calibri" w:hAnsi="Times New Roman" w:cs="Times New Roman"/>
                <w:i/>
                <w:color w:val="000000" w:themeColor="text1"/>
              </w:rPr>
              <w:t>rustica</w:t>
            </w:r>
            <w:proofErr w:type="spellEnd"/>
          </w:p>
        </w:tc>
        <w:tc>
          <w:tcPr>
            <w:tcW w:w="969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122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18.65</w:t>
            </w:r>
          </w:p>
        </w:tc>
        <w:tc>
          <w:tcPr>
            <w:tcW w:w="135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15.631</w:t>
            </w:r>
          </w:p>
        </w:tc>
        <w:tc>
          <w:tcPr>
            <w:tcW w:w="108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0.551</w:t>
            </w:r>
          </w:p>
        </w:tc>
        <w:tc>
          <w:tcPr>
            <w:tcW w:w="990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8.241</w:t>
            </w:r>
          </w:p>
        </w:tc>
        <w:tc>
          <w:tcPr>
            <w:tcW w:w="1458" w:type="dxa"/>
            <w:noWrap/>
            <w:hideMark/>
          </w:tcPr>
          <w:p w:rsidR="007D5496" w:rsidRPr="00752D04" w:rsidRDefault="007D5496" w:rsidP="007357EB">
            <w:pPr>
              <w:widowControl w:val="0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752D04">
              <w:rPr>
                <w:rFonts w:ascii="Times New Roman" w:eastAsia="Calibri" w:hAnsi="Times New Roman" w:cs="Times New Roman"/>
                <w:color w:val="000000" w:themeColor="text1"/>
              </w:rPr>
              <w:t>8.00</w:t>
            </w:r>
          </w:p>
        </w:tc>
      </w:tr>
    </w:tbl>
    <w:p w:rsidR="007D5496" w:rsidRPr="00752D04" w:rsidRDefault="007D5496" w:rsidP="007D5496">
      <w:pPr>
        <w:widowControl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CD7BC4" w:rsidRDefault="00CD7BC4">
      <w:bookmarkStart w:id="0" w:name="_GoBack"/>
      <w:bookmarkEnd w:id="0"/>
    </w:p>
    <w:sectPr w:rsidR="00CD7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96"/>
    <w:rsid w:val="007D5496"/>
    <w:rsid w:val="00CD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6F30E-6E58-473D-929A-23FF5DDB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496"/>
    <w:pPr>
      <w:spacing w:after="0" w:line="480" w:lineRule="auto"/>
    </w:pPr>
    <w:rPr>
      <w:rFonts w:ascii="Bookman Old Style" w:hAnsi="Bookman Old Style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D54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7D5496"/>
    <w:pPr>
      <w:spacing w:after="0" w:line="240" w:lineRule="auto"/>
    </w:pPr>
    <w:rPr>
      <w:rFonts w:ascii="Bookman Old Style" w:hAnsi="Bookman Old Style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D5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2018-02-12T14:30:00Z</dcterms:created>
  <dcterms:modified xsi:type="dcterms:W3CDTF">2018-02-12T14:31:00Z</dcterms:modified>
</cp:coreProperties>
</file>