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970"/>
        <w:tblLook w:firstRow="1" w:lastRow="0" w:firstColumn="0" w:lastColumn="0" w:noHBand="0" w:noVBand="1"/>
      </w:tblPr>
      <w:tblGrid>
        <w:gridCol w:w="3834"/>
        <w:gridCol w:w="961"/>
        <w:gridCol w:w="1169"/>
        <w:gridCol w:w="961"/>
        <w:gridCol w:w="961"/>
        <w:gridCol w:w="1084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High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Outcomes: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BMI [kg/m2]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27.6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Total Morbidity [count]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Infections/parasites [yes/no]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Respiratory disease [yes/no]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Gastrointestinal [yes/no] b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41.2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Predictors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Age [years]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15.0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Sex [0=female, 1=male]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Household wealth [Bs]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56,664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Community Size [Adults &gt;15]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188.0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346.0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Distance to market town [km]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140.0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Mean Community Wealth [Bs]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16,250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Community Wealth inequality [Gini]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 Whether higher or lower BMI is better is a bit ambiguous: in high-income countries higher BMI is associated with worse health, lower status and greater inequality, whereas in low-income countries the reverse may be true.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 see Supplementary Table S1 for an overview of the most common morbidities by category.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2020-09-18T13:48:21Z</dcterms:modified>
  <cp:category/>
</cp:coreProperties>
</file>