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37"/>
        <w:tblLook w:firstRow="1" w:lastRow="0" w:firstColumn="0" w:lastColumn="0" w:noHBand="0" w:noVBand="1"/>
      </w:tblPr>
      <w:tblGrid>
        <w:gridCol w:w="3785"/>
        <w:gridCol w:w="961"/>
        <w:gridCol w:w="961"/>
        <w:gridCol w:w="1389"/>
        <w:gridCol w:w="1389"/>
        <w:gridCol w:w="961"/>
        <w:gridCol w:w="1389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Obs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Low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High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Adult Outcomes: Psychosocial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Depression [sum score]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62.0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Conflicts [count]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4.0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Labor partners [count]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13.0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Non-social problems [count]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7.0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Urinary cortisol [pg/ml]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588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811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155,190.9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149,601.5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93.3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851,307.9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Adult Outcomes: Health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BMI [kg/m2]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36.6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Systolic blood pressure [mmHg]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3,195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190.0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Diastolic blood pressure [mmHg]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3,195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136.0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Self-rated health [scale]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2,523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Total morbidity [count]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5.0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Infections/parasites [yes/no]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Respiratory disease [yes/no]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Gastrointestinal [yes/no] c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1,306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1,542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36.3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Adult Predictors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Age [years]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91.0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Sex [0=female, 1=male]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1,931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5,383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46.2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Juvenile Outcomes: Health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BMI [kg/m2]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27.6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Total morbidity [count]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4.0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Infections/parasites [yes/no]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Respiratory disease [yes/no]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Gastrointestinal [yes/no] c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1,423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1,569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41.2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Juvenile Predictors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Age [years]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15.0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Sex [0=female, 1=male]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1,772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49.6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Household Predictors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Household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14.0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Household wealth [Bs]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871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1,045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7,675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5,675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386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56,664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Community Predictors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Community size [Adults &gt;15]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346.0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Distance to market town [km]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140.0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Mean community wealth [Bs]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16,250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Community wealth inequality [Gini]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 Reverse coded in analyses to make higher values worse outcomes.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 Whether higher or lower BMI is better is a bit ambiguous: in high-income countries higher BMI is associated with worse health, lower status and greater inequality, whereas in low-income countries the reverse may be true.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 see Supplementary Table S1 for an overview of the most common morbidities by category.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2020-09-23T11:13:59Z</dcterms:modified>
  <cp:category/>
</cp:coreProperties>
</file>