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73"/>
        <w:tblLook w:firstRow="1" w:lastRow="0" w:firstColumn="0" w:lastColumn="0" w:noHBand="0" w:noVBand="1"/>
      </w:tblPr>
      <w:tblGrid>
        <w:gridCol w:w="3334"/>
        <w:gridCol w:w="866"/>
        <w:gridCol w:w="1069"/>
        <w:gridCol w:w="1069"/>
        <w:gridCol w:w="866"/>
        <w:gridCol w:w="1069"/>
      </w:tblGrid>
      <w:tr>
        <w:trPr>
          <w:cantSplit/>
          <w:trHeight w:val="42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High</w:t>
            </w:r>
          </w:p>
        </w:tc>
      </w:tr>
      <w:tr>
        <w:trPr>
          <w:cantSplit/>
          <w:trHeight w:val="4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Outcomes: Psychosocial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Depression [sum score]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62.0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Conflicts [count]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Labor Partners [count]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Non-social Problems [count]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7.0</w:t>
            </w:r>
          </w:p>
        </w:tc>
      </w:tr>
      <w:tr>
        <w:trPr>
          <w:cantSplit/>
          <w:trHeight w:val="430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Urinary Cortisol [pg/ml]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811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155,191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149,602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93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851,308</w:t>
            </w:r>
          </w:p>
        </w:tc>
      </w:tr>
      <w:tr>
        <w:trPr>
          <w:cantSplit/>
          <w:trHeight w:val="389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Outcomes: Health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BMI [kg/m2]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36.6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Systolic Blood Pressure [mmHg]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190.0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Diastolic Blood Pressure [mmHg]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136.0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Self-rated Health [scale]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Total Morbidity [count]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</w:tr>
      <w:tr>
        <w:trPr>
          <w:cantSplit/>
          <w:trHeight w:val="4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Infections/parasites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</w:tr>
      <w:tr>
        <w:trPr>
          <w:cantSplit/>
          <w:trHeight w:val="4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Respiratory disease [yes/no]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</w:tr>
      <w:tr>
        <w:trPr>
          <w:cantSplit/>
          <w:trHeight w:val="430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Gastrointestinal [yes/no] c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1,542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</w:tr>
      <w:tr>
        <w:trPr>
          <w:cantSplit/>
          <w:trHeight w:val="389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Age [years]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91.0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Sex [0=female, 1=male]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Household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56,664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Size [Adults &gt;15]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346.0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Distance to market town [km]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140.0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Mean Community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16,250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Wealth inequality [Gini]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5,383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 Reverse coded in analyses to make higher values worse outcomes.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 Whether higher or lower BMI is better is a bit ambiguous: in high-income countries higher BMI is associated with worse health, lower status and greater inequality, whereas in low-income countries the reverse may be true.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 see Supplementary Table S1 for an overview of the most common morbidities by category.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2020-09-11T15:01:39Z</dcterms:modified>
  <cp:category/>
</cp:coreProperties>
</file>