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870"/>
        <w:tblLook w:firstRow="1" w:lastRow="0" w:firstColumn="0" w:lastColumn="0" w:noHBand="0" w:noVBand="1"/>
      </w:tblPr>
      <w:tblGrid>
        <w:gridCol w:w="3834"/>
        <w:gridCol w:w="961"/>
        <w:gridCol w:w="900"/>
        <w:gridCol w:w="1169"/>
        <w:gridCol w:w="961"/>
        <w:gridCol w:w="961"/>
        <w:gridCol w:w="1084"/>
      </w:tblGrid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Obs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Low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High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Outcomes: 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BMI [kg/m2] 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27.6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Total Morbidity [count]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Infections/parasites [yes/no]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Respiratory disease [yes/no] 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Gastrointestinal [yes/no] b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1,423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1,569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41.2</w:t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>Predictors</w:t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top w:val="single" w:sz="8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Age [years]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15.0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Sex [0=female, 1=male]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/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Household wealth [Bs]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5,438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56,664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Community Size [Adults &gt;15]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188.0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102.5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346.0</w:t>
            </w:r>
          </w:p>
        </w:tc>
      </w:tr>
      <w:tr>
        <w:trPr>
          <w:cantSplit/>
          <w:trHeight w:val="4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Distance to market town [km]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140.0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Mean Community Wealth [Bs]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8,531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3,930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16,250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Community Wealth inequality [Gini]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1,772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4,783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0.06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0.15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111111"/>
              </w:rPr>
              <w:t xml:space="preserve">0.53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a Whether higher or lower BMI is better is a bit ambiguous: in high-income countries higher BMI is associated with worse health, lower status and greater inequality, whereas in low-income countries the reverse may be true.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0"/>
                <w:szCs w:val="20"/>
                <w:color w:val="000000"/>
              </w:rPr>
              <w:t xml:space="preserve">b see Supplementary Table S1 for an overview of the most common morbidities by category.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2020-09-18T13:58:18Z</dcterms:modified>
  <cp:category/>
</cp:coreProperties>
</file>