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5B5" w:rsidRDefault="00D325B5" w:rsidP="00D325B5"/>
    <w:p w:rsidR="00C66394" w:rsidRDefault="00C66394" w:rsidP="00D325B5"/>
    <w:p w:rsidR="00C66394" w:rsidRDefault="00C66394" w:rsidP="00D325B5"/>
    <w:p w:rsidR="00C66394" w:rsidRDefault="00C66394" w:rsidP="00D325B5"/>
    <w:p w:rsidR="00C66394" w:rsidRDefault="00C66394" w:rsidP="00D325B5"/>
    <w:tbl>
      <w:tblPr>
        <w:tblW w:w="9910" w:type="dxa"/>
        <w:tblInd w:w="93" w:type="dxa"/>
        <w:tblLook w:val="04A0" w:firstRow="1" w:lastRow="0" w:firstColumn="1" w:lastColumn="0" w:noHBand="0" w:noVBand="1"/>
      </w:tblPr>
      <w:tblGrid>
        <w:gridCol w:w="5420"/>
        <w:gridCol w:w="2070"/>
        <w:gridCol w:w="2420"/>
      </w:tblGrid>
      <w:tr w:rsidR="00D325B5" w:rsidRPr="00D325B5" w:rsidTr="00C66394">
        <w:trPr>
          <w:trHeight w:val="762"/>
        </w:trPr>
        <w:tc>
          <w:tcPr>
            <w:tcW w:w="5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B5" w:rsidRPr="00D325B5" w:rsidRDefault="00D325B5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Evidence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5B5" w:rsidRPr="00D325B5" w:rsidRDefault="00D325B5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collapse hypothesis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325B5" w:rsidRPr="00D325B5" w:rsidRDefault="00D325B5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non-collapse hypothesis</w:t>
            </w:r>
          </w:p>
        </w:tc>
      </w:tr>
      <w:tr w:rsidR="00D325B5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25B5" w:rsidRPr="00D325B5" w:rsidRDefault="00D325B5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2J3K Fall Canada Acoustic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25B5" w:rsidRPr="00D325B5" w:rsidRDefault="00D325B5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325B5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2J3K Fall USSR Acoustic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3L Spring Canada Acoustic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3LNO Spring USSR Acoustic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3L Trinity Bay Acoustic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Seasonal age and maturity composition of stock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Missing capelin analysis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40"/>
                <w:szCs w:val="40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40"/>
                <w:szCs w:val="40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Offshore distribution - Fall Bottom trawl survey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C5C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24"/>
                <w:szCs w:val="24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Juvenile capelin surveys - IYGPT trawl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C5C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C66394" w:rsidRDefault="00C66394" w:rsidP="00C66394">
            <w:pPr>
              <w:jc w:val="center"/>
              <w:rPr>
                <w:sz w:val="24"/>
                <w:szCs w:val="24"/>
              </w:rPr>
            </w:pPr>
            <w:r w:rsidRPr="00C66394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Timing of capelin offshore residence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C5CC9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Aerial inshore abundance index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Inshore commercial catch rate index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lastRenderedPageBreak/>
              <w:t>Inshore recruitment index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CA45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Relationship between larval index and age 2 abundance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CA45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Spatial structure in cod weight at age and condition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66394" w:rsidRPr="00D325B5" w:rsidRDefault="00C66394" w:rsidP="00537DD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Spatial overlap of cod and capelin post 1991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CA45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Harp seal population trend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Harp seal reproductive rates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CA45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Seabird population trends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Default="00C66394" w:rsidP="00C66394">
            <w:pPr>
              <w:jc w:val="center"/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Seabird diets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proofErr w:type="spellStart"/>
            <w:r w:rsidRPr="00D325B5">
              <w:rPr>
                <w:rFonts w:ascii="Calibri" w:eastAsia="Times New Roman" w:hAnsi="Calibri" w:cs="Times New Roman"/>
                <w:i/>
                <w:iCs/>
                <w:color w:val="000000"/>
                <w:lang w:eastAsia="en-CA"/>
              </w:rPr>
              <w:t>Calanus</w:t>
            </w:r>
            <w:proofErr w:type="spellEnd"/>
            <w:r w:rsidRPr="00D325B5">
              <w:rPr>
                <w:rFonts w:ascii="Calibri" w:eastAsia="Times New Roman" w:hAnsi="Calibri" w:cs="Times New Roman"/>
                <w:i/>
                <w:iCs/>
                <w:color w:val="000000"/>
                <w:lang w:eastAsia="en-CA"/>
              </w:rPr>
              <w:t xml:space="preserve"> </w:t>
            </w:r>
            <w:proofErr w:type="spellStart"/>
            <w:r w:rsidRPr="00D325B5">
              <w:rPr>
                <w:rFonts w:ascii="Calibri" w:eastAsia="Times New Roman" w:hAnsi="Calibri" w:cs="Times New Roman"/>
                <w:i/>
                <w:iCs/>
                <w:color w:val="000000"/>
                <w:lang w:eastAsia="en-CA"/>
              </w:rPr>
              <w:t>finmarchicus</w:t>
            </w:r>
            <w:proofErr w:type="spellEnd"/>
            <w:r w:rsidRPr="00D325B5">
              <w:rPr>
                <w:rFonts w:ascii="Calibri" w:eastAsia="Times New Roman" w:hAnsi="Calibri" w:cs="Times New Roman"/>
                <w:i/>
                <w:iCs/>
                <w:color w:val="000000"/>
                <w:lang w:eastAsia="en-CA"/>
              </w:rPr>
              <w:t xml:space="preserve"> </w:t>
            </w: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abundance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412EC5">
              <w:rPr>
                <w:rFonts w:ascii="Calibri" w:eastAsia="Times New Roman" w:hAnsi="Calibri" w:cs="Times New Roman"/>
                <w:color w:val="000000"/>
                <w:sz w:val="36"/>
                <w:szCs w:val="36"/>
                <w:lang w:eastAsia="en-CA"/>
              </w:rPr>
              <w:t>−</w:t>
            </w:r>
          </w:p>
        </w:tc>
      </w:tr>
      <w:tr w:rsidR="00C66394" w:rsidRPr="00D325B5" w:rsidTr="00C66394">
        <w:trPr>
          <w:trHeight w:val="762"/>
        </w:trPr>
        <w:tc>
          <w:tcPr>
            <w:tcW w:w="54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6394" w:rsidRPr="00D325B5" w:rsidRDefault="00C66394" w:rsidP="00C66394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D325B5">
              <w:rPr>
                <w:rFonts w:ascii="Calibri" w:eastAsia="Times New Roman" w:hAnsi="Calibri" w:cs="Times New Roman"/>
                <w:color w:val="000000"/>
                <w:lang w:eastAsia="en-CA"/>
              </w:rPr>
              <w:t>Physical variability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506FE7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↑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C66394" w:rsidRPr="00D325B5" w:rsidRDefault="00C66394" w:rsidP="00C663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CA"/>
              </w:rPr>
            </w:pPr>
            <w:r w:rsidRPr="00CA4532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n-CA"/>
              </w:rPr>
              <w:t>↓</w:t>
            </w:r>
          </w:p>
        </w:tc>
      </w:tr>
    </w:tbl>
    <w:p w:rsidR="00D325B5" w:rsidRDefault="0038661D" w:rsidP="00D325B5">
      <w:r w:rsidRPr="00C66394">
        <w:rPr>
          <w:rFonts w:ascii="Calibri" w:eastAsia="Times New Roman" w:hAnsi="Calibri" w:cs="Times New Roman"/>
          <w:color w:val="000000"/>
          <w:sz w:val="40"/>
          <w:szCs w:val="40"/>
          <w:lang w:eastAsia="en-CA"/>
        </w:rPr>
        <w:t>↑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en-CA"/>
        </w:rPr>
        <w:t xml:space="preserve"> </w:t>
      </w:r>
      <w:r w:rsidRPr="0038661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Support in favor of hypothesis</w:t>
      </w:r>
    </w:p>
    <w:p w:rsidR="00D325B5" w:rsidRDefault="0038661D" w:rsidP="00D325B5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D325B5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↑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r w:rsidRPr="0038661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Consistent with hypothesis</w:t>
      </w:r>
    </w:p>
    <w:p w:rsidR="0038661D" w:rsidRDefault="0038661D" w:rsidP="00D325B5">
      <w:pPr>
        <w:rPr>
          <w:rFonts w:ascii="Calibri" w:eastAsia="Times New Roman" w:hAnsi="Calibri" w:cs="Times New Roman"/>
          <w:color w:val="000000"/>
          <w:sz w:val="36"/>
          <w:szCs w:val="36"/>
          <w:lang w:eastAsia="en-CA"/>
        </w:rPr>
      </w:pPr>
      <w:r w:rsidRPr="00D325B5">
        <w:rPr>
          <w:rFonts w:ascii="Calibri" w:eastAsia="Times New Roman" w:hAnsi="Calibri" w:cs="Times New Roman"/>
          <w:color w:val="000000"/>
          <w:sz w:val="36"/>
          <w:szCs w:val="36"/>
          <w:lang w:eastAsia="en-CA"/>
        </w:rPr>
        <w:t>−</w:t>
      </w:r>
      <w:r>
        <w:rPr>
          <w:rFonts w:ascii="Calibri" w:eastAsia="Times New Roman" w:hAnsi="Calibri" w:cs="Times New Roman"/>
          <w:color w:val="000000"/>
          <w:sz w:val="36"/>
          <w:szCs w:val="36"/>
          <w:lang w:eastAsia="en-CA"/>
        </w:rPr>
        <w:t xml:space="preserve"> </w:t>
      </w:r>
      <w:r w:rsidRPr="0038661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Equivocal support or the evidence cannot be used to test the hypotheses</w:t>
      </w:r>
    </w:p>
    <w:p w:rsidR="0038661D" w:rsidRDefault="0038661D" w:rsidP="00D325B5">
      <w:pP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</w:pPr>
      <w:r w:rsidRPr="00CA4532"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>↓</w:t>
      </w:r>
      <w:r>
        <w:rPr>
          <w:rFonts w:ascii="Calibri" w:eastAsia="Times New Roman" w:hAnsi="Calibri" w:cs="Times New Roman"/>
          <w:color w:val="000000"/>
          <w:sz w:val="24"/>
          <w:szCs w:val="24"/>
          <w:lang w:eastAsia="en-CA"/>
        </w:rPr>
        <w:t xml:space="preserve"> </w:t>
      </w:r>
      <w:r w:rsidRPr="0038661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Inconsistent with hypothesis</w:t>
      </w:r>
    </w:p>
    <w:p w:rsidR="0038661D" w:rsidRPr="0038661D" w:rsidRDefault="0038661D" w:rsidP="00D325B5">
      <w:pPr>
        <w:rPr>
          <w:rFonts w:ascii="Times New Roman" w:hAnsi="Times New Roman" w:cs="Times New Roman"/>
          <w:sz w:val="24"/>
          <w:szCs w:val="24"/>
        </w:rPr>
      </w:pPr>
      <w:r w:rsidRPr="00C66394">
        <w:rPr>
          <w:rFonts w:ascii="Calibri" w:eastAsia="Times New Roman" w:hAnsi="Calibri" w:cs="Times New Roman"/>
          <w:color w:val="000000"/>
          <w:sz w:val="40"/>
          <w:szCs w:val="40"/>
          <w:lang w:eastAsia="en-CA"/>
        </w:rPr>
        <w:t>↓</w:t>
      </w:r>
      <w:r>
        <w:rPr>
          <w:rFonts w:ascii="Calibri" w:eastAsia="Times New Roman" w:hAnsi="Calibri" w:cs="Times New Roman"/>
          <w:color w:val="000000"/>
          <w:sz w:val="40"/>
          <w:szCs w:val="40"/>
          <w:lang w:eastAsia="en-CA"/>
        </w:rPr>
        <w:t xml:space="preserve"> </w:t>
      </w:r>
      <w:bookmarkStart w:id="0" w:name="_GoBack"/>
      <w:r w:rsidRPr="0038661D">
        <w:rPr>
          <w:rFonts w:ascii="Times New Roman" w:eastAsia="Times New Roman" w:hAnsi="Times New Roman" w:cs="Times New Roman"/>
          <w:color w:val="000000"/>
          <w:sz w:val="24"/>
          <w:szCs w:val="24"/>
          <w:lang w:eastAsia="en-CA"/>
        </w:rPr>
        <w:t>Support against hypothesis</w:t>
      </w:r>
      <w:bookmarkEnd w:id="0"/>
    </w:p>
    <w:sectPr w:rsidR="0038661D" w:rsidRPr="00386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5B5"/>
    <w:rsid w:val="0038661D"/>
    <w:rsid w:val="00BA695C"/>
    <w:rsid w:val="00C66394"/>
    <w:rsid w:val="00D32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6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5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Alejandro BUren</dc:creator>
  <cp:lastModifiedBy>Alejandro BUren</cp:lastModifiedBy>
  <cp:revision>2</cp:revision>
  <dcterms:created xsi:type="dcterms:W3CDTF">2018-09-20T05:33:00Z</dcterms:created>
  <dcterms:modified xsi:type="dcterms:W3CDTF">2018-09-20T05:54:00Z</dcterms:modified>
</cp:coreProperties>
</file>