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BFB" w:rsidRDefault="00F00BFB" w:rsidP="00F00BFB">
      <w:pPr>
        <w:pStyle w:val="Heading3"/>
      </w:pPr>
      <w:bookmarkStart w:id="0" w:name="_GoBack"/>
      <w:r>
        <w:t>Temporal dynamics of cod weight at age and condition</w:t>
      </w:r>
    </w:p>
    <w:bookmarkEnd w:id="0"/>
    <w:p w:rsidR="00F00BFB" w:rsidRDefault="00F00BFB">
      <w:pPr>
        <w:rPr>
          <w:rFonts w:ascii="Candida-Roman" w:hAnsi="Candida-Roman"/>
          <w:color w:val="1B1C20"/>
          <w:sz w:val="20"/>
          <w:szCs w:val="20"/>
        </w:rPr>
      </w:pPr>
    </w:p>
    <w:p w:rsidR="00B51A8E" w:rsidRPr="00AB7D1B" w:rsidRDefault="00F00BFB" w:rsidP="0000034E">
      <w:pPr>
        <w:ind w:left="360"/>
        <w:rPr>
          <w:rFonts w:ascii="Times New Roman" w:hAnsi="Times New Roman" w:cs="Times New Roman"/>
          <w:color w:val="1B1C20"/>
          <w:sz w:val="24"/>
          <w:szCs w:val="24"/>
        </w:rPr>
      </w:pPr>
      <w:r w:rsidRPr="00AB7D1B">
        <w:rPr>
          <w:rFonts w:ascii="Times New Roman" w:hAnsi="Times New Roman" w:cs="Times New Roman"/>
          <w:color w:val="1B1C20"/>
          <w:sz w:val="24"/>
          <w:szCs w:val="24"/>
        </w:rPr>
        <w:fldChar w:fldCharType="begin"/>
      </w:r>
      <w:r w:rsidRPr="00AB7D1B">
        <w:rPr>
          <w:rFonts w:ascii="Times New Roman" w:hAnsi="Times New Roman" w:cs="Times New Roman"/>
          <w:color w:val="1B1C20"/>
          <w:sz w:val="24"/>
          <w:szCs w:val="24"/>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AB7D1B">
        <w:rPr>
          <w:rFonts w:ascii="Times New Roman" w:hAnsi="Times New Roman" w:cs="Times New Roman"/>
          <w:color w:val="1B1C20"/>
          <w:sz w:val="24"/>
          <w:szCs w:val="24"/>
        </w:rPr>
        <w:fldChar w:fldCharType="separate"/>
      </w:r>
      <w:r w:rsidRPr="00AB7D1B">
        <w:rPr>
          <w:rFonts w:ascii="Times New Roman" w:hAnsi="Times New Roman" w:cs="Times New Roman"/>
          <w:noProof/>
          <w:color w:val="1B1C20"/>
          <w:sz w:val="24"/>
          <w:szCs w:val="24"/>
        </w:rPr>
        <w:t>Frank et al. (2016)</w:t>
      </w:r>
      <w:r w:rsidRPr="00AB7D1B">
        <w:rPr>
          <w:rFonts w:ascii="Times New Roman" w:hAnsi="Times New Roman" w:cs="Times New Roman"/>
          <w:color w:val="1B1C20"/>
          <w:sz w:val="24"/>
          <w:szCs w:val="24"/>
        </w:rPr>
        <w:fldChar w:fldCharType="end"/>
      </w:r>
      <w:r w:rsidRPr="00AB7D1B">
        <w:rPr>
          <w:rFonts w:ascii="Times New Roman" w:hAnsi="Times New Roman" w:cs="Times New Roman"/>
          <w:color w:val="1B1C20"/>
          <w:sz w:val="24"/>
          <w:szCs w:val="24"/>
        </w:rPr>
        <w:t xml:space="preserve"> contend that the fact that cod’s response in weight at age and </w:t>
      </w:r>
      <w:r w:rsidR="00D72E8E" w:rsidRPr="00AB7D1B">
        <w:rPr>
          <w:rFonts w:ascii="Times New Roman" w:hAnsi="Times New Roman" w:cs="Times New Roman"/>
          <w:color w:val="1B1C20"/>
          <w:sz w:val="24"/>
          <w:szCs w:val="24"/>
        </w:rPr>
        <w:t xml:space="preserve">liver </w:t>
      </w:r>
      <w:r w:rsidRPr="00AB7D1B">
        <w:rPr>
          <w:rFonts w:ascii="Times New Roman" w:hAnsi="Times New Roman" w:cs="Times New Roman"/>
          <w:color w:val="1B1C20"/>
          <w:sz w:val="24"/>
          <w:szCs w:val="24"/>
        </w:rPr>
        <w:t>condition was not spatially homogenous represents support for the hypothesis of non-collapse of capelin.</w:t>
      </w:r>
      <w:r w:rsidR="00D72E8E" w:rsidRPr="00AB7D1B">
        <w:rPr>
          <w:rFonts w:ascii="Times New Roman" w:hAnsi="Times New Roman" w:cs="Times New Roman"/>
          <w:color w:val="1B1C20"/>
          <w:sz w:val="24"/>
          <w:szCs w:val="24"/>
        </w:rPr>
        <w:t xml:space="preserve"> There is spatial structure (i.e. gradient in the magnitude of the changes from north to south) in cod’s growth (length at age), condition (liver, gutted and total body mass), and variability in condition indices </w:t>
      </w:r>
      <w:r w:rsidR="00D72E8E" w:rsidRPr="00AB7D1B">
        <w:rPr>
          <w:rFonts w:ascii="Times New Roman" w:hAnsi="Times New Roman" w:cs="Times New Roman"/>
          <w:color w:val="1B1C20"/>
          <w:sz w:val="24"/>
          <w:szCs w:val="24"/>
        </w:rPr>
        <w:fldChar w:fldCharType="begin">
          <w:fldData xml:space="preserve">PEVuZE5vdGU+PENpdGU+PEF1dGhvcj5CdXJlbjwvQXV0aG9yPjxZZWFyPjIwMTQ8L1llYXI+PFJl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</w:fldData>
        </w:fldChar>
      </w:r>
      <w:r w:rsidR="00D72E8E" w:rsidRPr="00AB7D1B">
        <w:rPr>
          <w:rFonts w:ascii="Times New Roman" w:hAnsi="Times New Roman" w:cs="Times New Roman"/>
          <w:color w:val="1B1C20"/>
          <w:sz w:val="24"/>
          <w:szCs w:val="24"/>
        </w:rPr>
        <w:instrText xml:space="preserve"> ADDIN EN.CITE </w:instrText>
      </w:r>
      <w:r w:rsidR="00D72E8E" w:rsidRPr="00AB7D1B">
        <w:rPr>
          <w:rFonts w:ascii="Times New Roman" w:hAnsi="Times New Roman" w:cs="Times New Roman"/>
          <w:color w:val="1B1C20"/>
          <w:sz w:val="24"/>
          <w:szCs w:val="24"/>
        </w:rPr>
        <w:fldChar w:fldCharType="begin">
          <w:fldData xml:space="preserve">PEVuZE5vdGU+PENpdGU+PEF1dGhvcj5CdXJlbjwvQXV0aG9yPjxZZWFyPjIwMTQ8L1llYXI+PFJl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</w:fldData>
        </w:fldChar>
      </w:r>
      <w:r w:rsidR="00D72E8E" w:rsidRPr="00AB7D1B">
        <w:rPr>
          <w:rFonts w:ascii="Times New Roman" w:hAnsi="Times New Roman" w:cs="Times New Roman"/>
          <w:color w:val="1B1C20"/>
          <w:sz w:val="24"/>
          <w:szCs w:val="24"/>
        </w:rPr>
        <w:instrText xml:space="preserve"> ADDIN EN.CITE.DATA </w:instrText>
      </w:r>
      <w:r w:rsidR="00D72E8E" w:rsidRPr="00AB7D1B">
        <w:rPr>
          <w:rFonts w:ascii="Times New Roman" w:hAnsi="Times New Roman" w:cs="Times New Roman"/>
          <w:color w:val="1B1C20"/>
          <w:sz w:val="24"/>
          <w:szCs w:val="24"/>
        </w:rPr>
      </w:r>
      <w:r w:rsidR="00D72E8E" w:rsidRPr="00AB7D1B">
        <w:rPr>
          <w:rFonts w:ascii="Times New Roman" w:hAnsi="Times New Roman" w:cs="Times New Roman"/>
          <w:color w:val="1B1C20"/>
          <w:sz w:val="24"/>
          <w:szCs w:val="24"/>
        </w:rPr>
        <w:fldChar w:fldCharType="end"/>
      </w:r>
      <w:r w:rsidR="00D72E8E" w:rsidRPr="00AB7D1B">
        <w:rPr>
          <w:rFonts w:ascii="Times New Roman" w:hAnsi="Times New Roman" w:cs="Times New Roman"/>
          <w:color w:val="1B1C20"/>
          <w:sz w:val="24"/>
          <w:szCs w:val="24"/>
        </w:rPr>
      </w:r>
      <w:r w:rsidR="00D72E8E" w:rsidRPr="00AB7D1B">
        <w:rPr>
          <w:rFonts w:ascii="Times New Roman" w:hAnsi="Times New Roman" w:cs="Times New Roman"/>
          <w:color w:val="1B1C20"/>
          <w:sz w:val="24"/>
          <w:szCs w:val="24"/>
        </w:rPr>
        <w:fldChar w:fldCharType="separate"/>
      </w:r>
      <w:r w:rsidR="00D72E8E" w:rsidRPr="00AB7D1B">
        <w:rPr>
          <w:rFonts w:ascii="Times New Roman" w:hAnsi="Times New Roman" w:cs="Times New Roman"/>
          <w:noProof/>
          <w:color w:val="1B1C20"/>
          <w:sz w:val="24"/>
          <w:szCs w:val="24"/>
        </w:rPr>
        <w:t>(Buren et al. 2014, Morgan et al. 2017)</w:t>
      </w:r>
      <w:r w:rsidR="00D72E8E" w:rsidRPr="00AB7D1B">
        <w:rPr>
          <w:rFonts w:ascii="Times New Roman" w:hAnsi="Times New Roman" w:cs="Times New Roman"/>
          <w:color w:val="1B1C20"/>
          <w:sz w:val="24"/>
          <w:szCs w:val="24"/>
        </w:rPr>
        <w:fldChar w:fldCharType="end"/>
      </w:r>
      <w:r w:rsidR="00D72E8E" w:rsidRPr="00AB7D1B">
        <w:rPr>
          <w:rFonts w:ascii="Times New Roman" w:hAnsi="Times New Roman" w:cs="Times New Roman"/>
          <w:color w:val="1B1C20"/>
          <w:sz w:val="24"/>
          <w:szCs w:val="24"/>
        </w:rPr>
        <w:t>. Inconsistent patterns in liver and body condition are common in cod</w:t>
      </w:r>
      <w:r w:rsidR="00F81D50" w:rsidRPr="00AB7D1B">
        <w:rPr>
          <w:rFonts w:ascii="Times New Roman" w:hAnsi="Times New Roman" w:cs="Times New Roman"/>
          <w:color w:val="1B1C20"/>
          <w:sz w:val="24"/>
          <w:szCs w:val="24"/>
        </w:rPr>
        <w:t xml:space="preserve"> </w:t>
      </w:r>
      <w:r w:rsidR="0000034E" w:rsidRPr="00AB7D1B">
        <w:rPr>
          <w:rFonts w:ascii="Times New Roman" w:hAnsi="Times New Roman" w:cs="Times New Roman"/>
          <w:color w:val="1B1C20"/>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0000034E" w:rsidRPr="00AB7D1B">
        <w:rPr>
          <w:rFonts w:ascii="Times New Roman" w:hAnsi="Times New Roman" w:cs="Times New Roman"/>
          <w:color w:val="1B1C20"/>
          <w:sz w:val="24"/>
          <w:szCs w:val="24"/>
        </w:rPr>
        <w:instrText xml:space="preserve"> ADDIN EN.CITE </w:instrText>
      </w:r>
      <w:r w:rsidR="0000034E" w:rsidRPr="00AB7D1B">
        <w:rPr>
          <w:rFonts w:ascii="Times New Roman" w:hAnsi="Times New Roman" w:cs="Times New Roman"/>
          <w:color w:val="1B1C20"/>
          <w:sz w:val="24"/>
          <w:szCs w:val="24"/>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0000034E" w:rsidRPr="00AB7D1B">
        <w:rPr>
          <w:rFonts w:ascii="Times New Roman" w:hAnsi="Times New Roman" w:cs="Times New Roman"/>
          <w:color w:val="1B1C20"/>
          <w:sz w:val="24"/>
          <w:szCs w:val="24"/>
        </w:rPr>
        <w:instrText xml:space="preserve"> ADDIN EN.CITE.DATA </w:instrText>
      </w:r>
      <w:r w:rsidR="0000034E" w:rsidRPr="00AB7D1B">
        <w:rPr>
          <w:rFonts w:ascii="Times New Roman" w:hAnsi="Times New Roman" w:cs="Times New Roman"/>
          <w:color w:val="1B1C20"/>
          <w:sz w:val="24"/>
          <w:szCs w:val="24"/>
        </w:rPr>
      </w:r>
      <w:r w:rsidR="0000034E" w:rsidRPr="00AB7D1B">
        <w:rPr>
          <w:rFonts w:ascii="Times New Roman" w:hAnsi="Times New Roman" w:cs="Times New Roman"/>
          <w:color w:val="1B1C20"/>
          <w:sz w:val="24"/>
          <w:szCs w:val="24"/>
        </w:rPr>
        <w:fldChar w:fldCharType="end"/>
      </w:r>
      <w:r w:rsidR="0000034E" w:rsidRPr="00AB7D1B">
        <w:rPr>
          <w:rFonts w:ascii="Times New Roman" w:hAnsi="Times New Roman" w:cs="Times New Roman"/>
          <w:color w:val="1B1C20"/>
          <w:sz w:val="24"/>
          <w:szCs w:val="24"/>
        </w:rPr>
      </w:r>
      <w:r w:rsidR="0000034E" w:rsidRPr="00AB7D1B">
        <w:rPr>
          <w:rFonts w:ascii="Times New Roman" w:hAnsi="Times New Roman" w:cs="Times New Roman"/>
          <w:color w:val="1B1C20"/>
          <w:sz w:val="24"/>
          <w:szCs w:val="24"/>
        </w:rPr>
        <w:fldChar w:fldCharType="separate"/>
      </w:r>
      <w:r w:rsidR="0000034E" w:rsidRPr="00AB7D1B">
        <w:rPr>
          <w:rFonts w:ascii="Times New Roman" w:hAnsi="Times New Roman" w:cs="Times New Roman"/>
          <w:noProof/>
          <w:color w:val="1B1C20"/>
          <w:sz w:val="24"/>
          <w:szCs w:val="24"/>
        </w:rPr>
        <w:t>(Foster et al. 1993, Marshall et al. 2004, Pardoe et al. 2008, Pardoe &amp; Marteinsdóttir 2009, Morgan et al. 2010)</w:t>
      </w:r>
      <w:r w:rsidR="0000034E" w:rsidRPr="00AB7D1B">
        <w:rPr>
          <w:rFonts w:ascii="Times New Roman" w:hAnsi="Times New Roman" w:cs="Times New Roman"/>
          <w:color w:val="1B1C20"/>
          <w:sz w:val="24"/>
          <w:szCs w:val="24"/>
        </w:rPr>
        <w:fldChar w:fldCharType="end"/>
      </w:r>
      <w:r w:rsidR="00D72E8E" w:rsidRPr="00AB7D1B">
        <w:rPr>
          <w:rFonts w:ascii="Times New Roman" w:hAnsi="Times New Roman" w:cs="Times New Roman"/>
          <w:color w:val="1B1C20"/>
          <w:sz w:val="24"/>
          <w:szCs w:val="24"/>
        </w:rPr>
        <w:t xml:space="preserve">, and these respond quickly to changes in food abundance </w:t>
      </w:r>
      <w:r w:rsidR="00F81D50" w:rsidRPr="00AB7D1B">
        <w:rPr>
          <w:rFonts w:ascii="Times New Roman" w:hAnsi="Times New Roman" w:cs="Times New Roman"/>
          <w:color w:val="1B1C20"/>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00F81D50" w:rsidRPr="00AB7D1B">
        <w:rPr>
          <w:rFonts w:ascii="Times New Roman" w:hAnsi="Times New Roman" w:cs="Times New Roman"/>
          <w:color w:val="1B1C20"/>
          <w:sz w:val="24"/>
          <w:szCs w:val="24"/>
        </w:rPr>
        <w:instrText xml:space="preserve"> ADDIN EN.CITE </w:instrText>
      </w:r>
      <w:r w:rsidR="00F81D50" w:rsidRPr="00AB7D1B">
        <w:rPr>
          <w:rFonts w:ascii="Times New Roman" w:hAnsi="Times New Roman" w:cs="Times New Roman"/>
          <w:color w:val="1B1C20"/>
          <w:sz w:val="24"/>
          <w:szCs w:val="24"/>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00F81D50" w:rsidRPr="00AB7D1B">
        <w:rPr>
          <w:rFonts w:ascii="Times New Roman" w:hAnsi="Times New Roman" w:cs="Times New Roman"/>
          <w:color w:val="1B1C20"/>
          <w:sz w:val="24"/>
          <w:szCs w:val="24"/>
        </w:rPr>
        <w:instrText xml:space="preserve"> ADDIN EN.CITE.DATA </w:instrText>
      </w:r>
      <w:r w:rsidR="00F81D50" w:rsidRPr="00AB7D1B">
        <w:rPr>
          <w:rFonts w:ascii="Times New Roman" w:hAnsi="Times New Roman" w:cs="Times New Roman"/>
          <w:color w:val="1B1C20"/>
          <w:sz w:val="24"/>
          <w:szCs w:val="24"/>
        </w:rPr>
      </w:r>
      <w:r w:rsidR="00F81D50" w:rsidRPr="00AB7D1B">
        <w:rPr>
          <w:rFonts w:ascii="Times New Roman" w:hAnsi="Times New Roman" w:cs="Times New Roman"/>
          <w:color w:val="1B1C20"/>
          <w:sz w:val="24"/>
          <w:szCs w:val="24"/>
        </w:rPr>
        <w:fldChar w:fldCharType="end"/>
      </w:r>
      <w:r w:rsidR="00F81D50" w:rsidRPr="00AB7D1B">
        <w:rPr>
          <w:rFonts w:ascii="Times New Roman" w:hAnsi="Times New Roman" w:cs="Times New Roman"/>
          <w:color w:val="1B1C20"/>
          <w:sz w:val="24"/>
          <w:szCs w:val="24"/>
        </w:rPr>
      </w:r>
      <w:r w:rsidR="00F81D50" w:rsidRPr="00AB7D1B">
        <w:rPr>
          <w:rFonts w:ascii="Times New Roman" w:hAnsi="Times New Roman" w:cs="Times New Roman"/>
          <w:color w:val="1B1C20"/>
          <w:sz w:val="24"/>
          <w:szCs w:val="24"/>
        </w:rPr>
        <w:fldChar w:fldCharType="separate"/>
      </w:r>
      <w:r w:rsidR="00F81D50" w:rsidRPr="00AB7D1B">
        <w:rPr>
          <w:rFonts w:ascii="Times New Roman" w:hAnsi="Times New Roman" w:cs="Times New Roman"/>
          <w:noProof/>
          <w:color w:val="1B1C20"/>
          <w:sz w:val="24"/>
          <w:szCs w:val="24"/>
        </w:rPr>
        <w:t>(Lambert &amp; Dutil 1997a, b, Morgan et al. 2017)</w:t>
      </w:r>
      <w:r w:rsidR="00F81D50" w:rsidRPr="00AB7D1B">
        <w:rPr>
          <w:rFonts w:ascii="Times New Roman" w:hAnsi="Times New Roman" w:cs="Times New Roman"/>
          <w:color w:val="1B1C20"/>
          <w:sz w:val="24"/>
          <w:szCs w:val="24"/>
        </w:rPr>
        <w:fldChar w:fldCharType="end"/>
      </w:r>
      <w:r w:rsidR="0000034E" w:rsidRPr="00AB7D1B">
        <w:rPr>
          <w:rFonts w:ascii="Times New Roman" w:hAnsi="Times New Roman" w:cs="Times New Roman"/>
          <w:color w:val="1B1C20"/>
          <w:sz w:val="24"/>
          <w:szCs w:val="24"/>
        </w:rPr>
        <w:t xml:space="preserve">. </w:t>
      </w:r>
    </w:p>
    <w:p w:rsidR="00AB7D1B" w:rsidRDefault="0000034E" w:rsidP="00417B09">
      <w:pPr>
        <w:ind w:left="360"/>
        <w:rPr>
          <w:rFonts w:ascii="Times New Roman" w:hAnsi="Times New Roman" w:cs="Times New Roman"/>
          <w:color w:val="1B1C20"/>
          <w:sz w:val="24"/>
          <w:szCs w:val="24"/>
        </w:rPr>
      </w:pPr>
      <w:r w:rsidRPr="00AB7D1B">
        <w:rPr>
          <w:rFonts w:ascii="Times New Roman" w:hAnsi="Times New Roman" w:cs="Times New Roman"/>
          <w:color w:val="1B1C20"/>
          <w:sz w:val="24"/>
          <w:szCs w:val="24"/>
        </w:rPr>
        <w:t xml:space="preserve">The existence of spatial structure in </w:t>
      </w:r>
      <w:r w:rsidR="00AB7D1B">
        <w:rPr>
          <w:rFonts w:ascii="Times New Roman" w:hAnsi="Times New Roman" w:cs="Times New Roman"/>
          <w:color w:val="1B1C20"/>
          <w:sz w:val="24"/>
          <w:szCs w:val="24"/>
        </w:rPr>
        <w:t>traits</w:t>
      </w:r>
      <w:r w:rsidRPr="00AB7D1B">
        <w:rPr>
          <w:rFonts w:ascii="Times New Roman" w:hAnsi="Times New Roman" w:cs="Times New Roman"/>
          <w:color w:val="1B1C20"/>
          <w:sz w:val="24"/>
          <w:szCs w:val="24"/>
        </w:rPr>
        <w:t xml:space="preserve"> of northern cod is not surprising, given that the term refers to a complex of cod populations. These have been defined by a north-south cline in size at age and spawning time, </w:t>
      </w:r>
      <w:r w:rsidR="00014966" w:rsidRPr="00AB7D1B">
        <w:rPr>
          <w:rFonts w:ascii="Times New Roman" w:hAnsi="Times New Roman" w:cs="Times New Roman"/>
          <w:color w:val="1B1C20"/>
          <w:sz w:val="24"/>
          <w:szCs w:val="24"/>
        </w:rPr>
        <w:t xml:space="preserve">and a change in vertebral counts at approximately the north slope of Grand Bank </w:t>
      </w:r>
      <w:r w:rsidR="00014966" w:rsidRPr="00AB7D1B">
        <w:rPr>
          <w:rFonts w:ascii="Times New Roman" w:hAnsi="Times New Roman" w:cs="Times New Roman"/>
          <w:color w:val="1B1C20"/>
          <w:sz w:val="24"/>
          <w:szCs w:val="24"/>
        </w:rPr>
        <w:fldChar w:fldCharType="begin"/>
      </w:r>
      <w:r w:rsidR="00014966" w:rsidRPr="00AB7D1B">
        <w:rPr>
          <w:rFonts w:ascii="Times New Roman" w:hAnsi="Times New Roman" w:cs="Times New Roman"/>
          <w:color w:val="1B1C20"/>
          <w:sz w:val="24"/>
          <w:szCs w:val="24"/>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00014966" w:rsidRPr="00AB7D1B">
        <w:rPr>
          <w:rFonts w:ascii="Times New Roman" w:hAnsi="Times New Roman" w:cs="Times New Roman"/>
          <w:color w:val="1B1C20"/>
          <w:sz w:val="24"/>
          <w:szCs w:val="24"/>
        </w:rPr>
        <w:fldChar w:fldCharType="separate"/>
      </w:r>
      <w:r w:rsidR="00014966" w:rsidRPr="00AB7D1B">
        <w:rPr>
          <w:rFonts w:ascii="Times New Roman" w:hAnsi="Times New Roman" w:cs="Times New Roman"/>
          <w:color w:val="1B1C20"/>
          <w:sz w:val="24"/>
          <w:szCs w:val="24"/>
        </w:rPr>
        <w:t>(ICES 2005)</w:t>
      </w:r>
      <w:r w:rsidR="00014966" w:rsidRPr="00AB7D1B">
        <w:rPr>
          <w:rFonts w:ascii="Times New Roman" w:hAnsi="Times New Roman" w:cs="Times New Roman"/>
          <w:color w:val="1B1C20"/>
          <w:sz w:val="24"/>
          <w:szCs w:val="24"/>
        </w:rPr>
        <w:fldChar w:fldCharType="end"/>
      </w:r>
      <w:r w:rsidR="00200135" w:rsidRPr="00AB7D1B">
        <w:rPr>
          <w:rFonts w:ascii="Times New Roman" w:hAnsi="Times New Roman" w:cs="Times New Roman"/>
          <w:color w:val="1B1C20"/>
          <w:sz w:val="24"/>
          <w:szCs w:val="24"/>
        </w:rPr>
        <w:t xml:space="preserve">. In addition, northern and southern components of the stock inhabit different ecosystem production units, i.e. northeast Newfoundland Shelf (subareas 2J3K), and the Grand Banks (subareas 3LNO). These units </w:t>
      </w:r>
      <w:r w:rsidR="00417B09" w:rsidRPr="00AB7D1B">
        <w:rPr>
          <w:rFonts w:ascii="Times New Roman" w:hAnsi="Times New Roman" w:cs="Times New Roman"/>
          <w:color w:val="1B1C20"/>
          <w:sz w:val="24"/>
          <w:szCs w:val="24"/>
        </w:rPr>
        <w:t>are characterized by distinct productivity and reasonably well defined major marine communit</w:t>
      </w:r>
      <w:r w:rsidR="00024341">
        <w:rPr>
          <w:rFonts w:ascii="Times New Roman" w:hAnsi="Times New Roman" w:cs="Times New Roman"/>
          <w:color w:val="1B1C20"/>
          <w:sz w:val="24"/>
          <w:szCs w:val="24"/>
        </w:rPr>
        <w:t>ies</w:t>
      </w:r>
      <w:r w:rsidR="00417B09" w:rsidRPr="00AB7D1B">
        <w:rPr>
          <w:rFonts w:ascii="Times New Roman" w:hAnsi="Times New Roman" w:cs="Times New Roman"/>
          <w:color w:val="1B1C20"/>
          <w:sz w:val="24"/>
          <w:szCs w:val="24"/>
        </w:rPr>
        <w:t xml:space="preserve"> and food web system</w:t>
      </w:r>
      <w:r w:rsidR="00024341">
        <w:rPr>
          <w:rFonts w:ascii="Times New Roman" w:hAnsi="Times New Roman" w:cs="Times New Roman"/>
          <w:color w:val="1B1C20"/>
          <w:sz w:val="24"/>
          <w:szCs w:val="24"/>
        </w:rPr>
        <w:t>s</w:t>
      </w:r>
      <w:r w:rsidR="00014966" w:rsidRPr="00AB7D1B">
        <w:rPr>
          <w:rFonts w:ascii="Times New Roman" w:hAnsi="Times New Roman" w:cs="Times New Roman"/>
          <w:color w:val="1B1C20"/>
          <w:sz w:val="24"/>
          <w:szCs w:val="24"/>
        </w:rPr>
        <w:t xml:space="preserve"> </w:t>
      </w:r>
      <w:r w:rsidR="00014966" w:rsidRPr="00AB7D1B">
        <w:rPr>
          <w:rFonts w:ascii="Times New Roman" w:hAnsi="Times New Roman" w:cs="Times New Roman"/>
          <w:color w:val="1B1C20"/>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00014966" w:rsidRPr="00AB7D1B">
        <w:rPr>
          <w:rFonts w:ascii="Times New Roman" w:hAnsi="Times New Roman" w:cs="Times New Roman"/>
          <w:color w:val="1B1C20"/>
          <w:sz w:val="24"/>
          <w:szCs w:val="24"/>
        </w:rPr>
        <w:instrText xml:space="preserve"> ADDIN EN.CITE </w:instrText>
      </w:r>
      <w:r w:rsidR="00014966" w:rsidRPr="00AB7D1B">
        <w:rPr>
          <w:rFonts w:ascii="Times New Roman" w:hAnsi="Times New Roman" w:cs="Times New Roman"/>
          <w:color w:val="1B1C20"/>
          <w:sz w:val="24"/>
          <w:szCs w:val="24"/>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00014966" w:rsidRPr="00AB7D1B">
        <w:rPr>
          <w:rFonts w:ascii="Times New Roman" w:hAnsi="Times New Roman" w:cs="Times New Roman"/>
          <w:color w:val="1B1C20"/>
          <w:sz w:val="24"/>
          <w:szCs w:val="24"/>
        </w:rPr>
        <w:instrText xml:space="preserve"> ADDIN EN.CITE.DATA </w:instrText>
      </w:r>
      <w:r w:rsidR="00014966" w:rsidRPr="00AB7D1B">
        <w:rPr>
          <w:rFonts w:ascii="Times New Roman" w:hAnsi="Times New Roman" w:cs="Times New Roman"/>
          <w:color w:val="1B1C20"/>
          <w:sz w:val="24"/>
          <w:szCs w:val="24"/>
        </w:rPr>
      </w:r>
      <w:r w:rsidR="00014966" w:rsidRPr="00AB7D1B">
        <w:rPr>
          <w:rFonts w:ascii="Times New Roman" w:hAnsi="Times New Roman" w:cs="Times New Roman"/>
          <w:color w:val="1B1C20"/>
          <w:sz w:val="24"/>
          <w:szCs w:val="24"/>
        </w:rPr>
        <w:fldChar w:fldCharType="end"/>
      </w:r>
      <w:r w:rsidR="00014966" w:rsidRPr="00AB7D1B">
        <w:rPr>
          <w:rFonts w:ascii="Times New Roman" w:hAnsi="Times New Roman" w:cs="Times New Roman"/>
          <w:color w:val="1B1C20"/>
          <w:sz w:val="24"/>
          <w:szCs w:val="24"/>
        </w:rPr>
      </w:r>
      <w:r w:rsidR="00014966" w:rsidRPr="00AB7D1B">
        <w:rPr>
          <w:rFonts w:ascii="Times New Roman" w:hAnsi="Times New Roman" w:cs="Times New Roman"/>
          <w:color w:val="1B1C20"/>
          <w:sz w:val="24"/>
          <w:szCs w:val="24"/>
        </w:rPr>
        <w:fldChar w:fldCharType="separate"/>
      </w:r>
      <w:r w:rsidR="00014966" w:rsidRPr="00AB7D1B">
        <w:rPr>
          <w:rFonts w:ascii="Times New Roman" w:hAnsi="Times New Roman" w:cs="Times New Roman"/>
          <w:color w:val="1B1C20"/>
          <w:sz w:val="24"/>
          <w:szCs w:val="24"/>
        </w:rPr>
        <w:t xml:space="preserve">(Pepin et al. 2010, Pepin et al. 2012, </w:t>
      </w:r>
      <w:proofErr w:type="gramStart"/>
      <w:r w:rsidR="00014966" w:rsidRPr="00AB7D1B">
        <w:rPr>
          <w:rFonts w:ascii="Times New Roman" w:hAnsi="Times New Roman" w:cs="Times New Roman"/>
          <w:color w:val="1B1C20"/>
          <w:sz w:val="24"/>
          <w:szCs w:val="24"/>
        </w:rPr>
        <w:t>Pepin</w:t>
      </w:r>
      <w:proofErr w:type="gramEnd"/>
      <w:r w:rsidR="00014966" w:rsidRPr="00AB7D1B">
        <w:rPr>
          <w:rFonts w:ascii="Times New Roman" w:hAnsi="Times New Roman" w:cs="Times New Roman"/>
          <w:color w:val="1B1C20"/>
          <w:sz w:val="24"/>
          <w:szCs w:val="24"/>
        </w:rPr>
        <w:t xml:space="preserve"> et al. 2014)</w:t>
      </w:r>
      <w:r w:rsidR="00014966" w:rsidRPr="00AB7D1B">
        <w:rPr>
          <w:rFonts w:ascii="Times New Roman" w:hAnsi="Times New Roman" w:cs="Times New Roman"/>
          <w:color w:val="1B1C20"/>
          <w:sz w:val="24"/>
          <w:szCs w:val="24"/>
        </w:rPr>
        <w:fldChar w:fldCharType="end"/>
      </w:r>
      <w:r w:rsidR="00AB7D1B" w:rsidRPr="00AB7D1B">
        <w:rPr>
          <w:rFonts w:ascii="Times New Roman" w:hAnsi="Times New Roman" w:cs="Times New Roman"/>
          <w:color w:val="1B1C20"/>
          <w:sz w:val="24"/>
          <w:szCs w:val="24"/>
        </w:rPr>
        <w:t>.</w:t>
      </w:r>
      <w:r w:rsidR="000B244D">
        <w:rPr>
          <w:rFonts w:ascii="Times New Roman" w:hAnsi="Times New Roman" w:cs="Times New Roman"/>
          <w:color w:val="1B1C20"/>
          <w:sz w:val="24"/>
          <w:szCs w:val="24"/>
        </w:rPr>
        <w:t xml:space="preserve"> </w:t>
      </w:r>
    </w:p>
    <w:p w:rsidR="00E331A2" w:rsidRPr="00E331A2" w:rsidRDefault="000B244D" w:rsidP="00E331A2">
      <w:pPr>
        <w:ind w:left="360"/>
        <w:rPr>
          <w:rFonts w:ascii="Times New Roman" w:hAnsi="Times New Roman" w:cs="Times New Roman"/>
          <w:color w:val="1B1C20"/>
          <w:sz w:val="24"/>
          <w:szCs w:val="24"/>
        </w:rPr>
      </w:pPr>
      <w:r>
        <w:rPr>
          <w:rFonts w:ascii="Times New Roman" w:hAnsi="Times New Roman" w:cs="Times New Roman"/>
          <w:color w:val="1B1C20"/>
          <w:sz w:val="24"/>
          <w:szCs w:val="24"/>
        </w:rPr>
        <w:t xml:space="preserve">During 1991 and following years, capelin shifted its fall distribution from having two distinct aggregations, one in the northwest of the area (NAFO </w:t>
      </w:r>
      <w:proofErr w:type="spellStart"/>
      <w:r>
        <w:rPr>
          <w:rFonts w:ascii="Times New Roman" w:hAnsi="Times New Roman" w:cs="Times New Roman"/>
          <w:color w:val="1B1C20"/>
          <w:sz w:val="24"/>
          <w:szCs w:val="24"/>
        </w:rPr>
        <w:t>Div</w:t>
      </w:r>
      <w:proofErr w:type="spellEnd"/>
      <w:r>
        <w:rPr>
          <w:rFonts w:ascii="Times New Roman" w:hAnsi="Times New Roman" w:cs="Times New Roman"/>
          <w:color w:val="1B1C20"/>
          <w:sz w:val="24"/>
          <w:szCs w:val="24"/>
        </w:rPr>
        <w:t xml:space="preserve"> 2J3K) and one in the southeast (NAFO </w:t>
      </w:r>
      <w:proofErr w:type="spellStart"/>
      <w:r>
        <w:rPr>
          <w:rFonts w:ascii="Times New Roman" w:hAnsi="Times New Roman" w:cs="Times New Roman"/>
          <w:color w:val="1B1C20"/>
          <w:sz w:val="24"/>
          <w:szCs w:val="24"/>
        </w:rPr>
        <w:t>Div</w:t>
      </w:r>
      <w:proofErr w:type="spellEnd"/>
      <w:r>
        <w:rPr>
          <w:rFonts w:ascii="Times New Roman" w:hAnsi="Times New Roman" w:cs="Times New Roman"/>
          <w:color w:val="1B1C20"/>
          <w:sz w:val="24"/>
          <w:szCs w:val="24"/>
        </w:rPr>
        <w:t xml:space="preserve"> 3L, at the northern slope of the Grand Banks) to having only one in the southeast </w:t>
      </w:r>
      <w:r>
        <w:rPr>
          <w:rFonts w:ascii="Times New Roman" w:hAnsi="Times New Roman" w:cs="Times New Roman"/>
          <w:color w:val="1B1C20"/>
          <w:sz w:val="24"/>
          <w:szCs w:val="24"/>
        </w:rPr>
        <w:fldChar w:fldCharType="begin"/>
      </w:r>
      <w:r w:rsidR="00E331A2">
        <w:rPr>
          <w:rFonts w:ascii="Times New Roman" w:hAnsi="Times New Roman" w:cs="Times New Roman"/>
          <w:color w:val="1B1C20"/>
          <w:sz w:val="24"/>
          <w:szCs w:val="24"/>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Pr>
          <w:rFonts w:ascii="Times New Roman" w:hAnsi="Times New Roman" w:cs="Times New Roman"/>
          <w:color w:val="1B1C20"/>
          <w:sz w:val="24"/>
          <w:szCs w:val="24"/>
        </w:rPr>
        <w:fldChar w:fldCharType="separate"/>
      </w:r>
      <w:r w:rsidR="00E331A2">
        <w:rPr>
          <w:rFonts w:ascii="Times New Roman" w:hAnsi="Times New Roman" w:cs="Times New Roman"/>
          <w:color w:val="1B1C20"/>
          <w:sz w:val="24"/>
          <w:szCs w:val="24"/>
        </w:rPr>
        <w:t>(Lilly &amp; Davis 1993, Miller 1994)</w:t>
      </w:r>
      <w:r>
        <w:rPr>
          <w:rFonts w:ascii="Times New Roman" w:hAnsi="Times New Roman" w:cs="Times New Roman"/>
          <w:color w:val="1B1C20"/>
          <w:sz w:val="24"/>
          <w:szCs w:val="24"/>
        </w:rPr>
        <w:fldChar w:fldCharType="end"/>
      </w:r>
      <w:r>
        <w:rPr>
          <w:rFonts w:ascii="Times New Roman" w:hAnsi="Times New Roman" w:cs="Times New Roman"/>
          <w:color w:val="1B1C20"/>
          <w:sz w:val="24"/>
          <w:szCs w:val="24"/>
        </w:rPr>
        <w:t>, with records of excursion</w:t>
      </w:r>
      <w:r w:rsidR="00E331A2">
        <w:rPr>
          <w:rFonts w:ascii="Times New Roman" w:hAnsi="Times New Roman" w:cs="Times New Roman"/>
          <w:color w:val="1B1C20"/>
          <w:sz w:val="24"/>
          <w:szCs w:val="24"/>
        </w:rPr>
        <w:t>s</w:t>
      </w:r>
      <w:r>
        <w:rPr>
          <w:rFonts w:ascii="Times New Roman" w:hAnsi="Times New Roman" w:cs="Times New Roman"/>
          <w:color w:val="1B1C20"/>
          <w:sz w:val="24"/>
          <w:szCs w:val="24"/>
        </w:rPr>
        <w:t xml:space="preserve"> into the Flemish Cap and the Scotian Shelf </w:t>
      </w:r>
      <w:r>
        <w:rPr>
          <w:rFonts w:ascii="Times New Roman" w:hAnsi="Times New Roman" w:cs="Times New Roman"/>
          <w:color w:val="1B1C20"/>
          <w:sz w:val="24"/>
          <w:szCs w:val="24"/>
        </w:rPr>
        <w:fldChar w:fldCharType="begin"/>
      </w:r>
      <w:r>
        <w:rPr>
          <w:rFonts w:ascii="Times New Roman" w:hAnsi="Times New Roman" w:cs="Times New Roman"/>
          <w:color w:val="1B1C20"/>
          <w:sz w:val="24"/>
          <w:szCs w:val="24"/>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Pr>
          <w:rFonts w:ascii="Times New Roman" w:hAnsi="Times New Roman" w:cs="Times New Roman"/>
          <w:color w:val="1B1C20"/>
          <w:sz w:val="24"/>
          <w:szCs w:val="24"/>
        </w:rPr>
        <w:fldChar w:fldCharType="separate"/>
      </w:r>
      <w:r>
        <w:rPr>
          <w:rFonts w:ascii="Times New Roman" w:hAnsi="Times New Roman" w:cs="Times New Roman"/>
          <w:color w:val="1B1C20"/>
          <w:sz w:val="24"/>
          <w:szCs w:val="24"/>
        </w:rPr>
        <w:t>(Frank et al. 1996)</w:t>
      </w:r>
      <w:r>
        <w:rPr>
          <w:rFonts w:ascii="Times New Roman" w:hAnsi="Times New Roman" w:cs="Times New Roman"/>
          <w:color w:val="1B1C20"/>
          <w:sz w:val="24"/>
          <w:szCs w:val="24"/>
        </w:rPr>
        <w:fldChar w:fldCharType="end"/>
      </w:r>
      <w:r w:rsidR="00E331A2">
        <w:rPr>
          <w:rFonts w:ascii="Times New Roman" w:hAnsi="Times New Roman" w:cs="Times New Roman"/>
          <w:color w:val="1B1C20"/>
          <w:sz w:val="24"/>
          <w:szCs w:val="24"/>
        </w:rPr>
        <w:t xml:space="preserve">. Coincidently, </w:t>
      </w:r>
      <w:r w:rsidR="00014966" w:rsidRPr="00E331A2">
        <w:rPr>
          <w:rFonts w:ascii="Times New Roman" w:hAnsi="Times New Roman" w:cs="Times New Roman"/>
          <w:color w:val="1B1C20"/>
          <w:sz w:val="24"/>
          <w:szCs w:val="24"/>
        </w:rPr>
        <w:t>cod moved southward on the northeast</w:t>
      </w:r>
      <w:r w:rsidR="00E331A2" w:rsidRPr="00E331A2">
        <w:rPr>
          <w:rFonts w:ascii="Times New Roman" w:hAnsi="Times New Roman" w:cs="Times New Roman"/>
          <w:color w:val="1B1C20"/>
          <w:sz w:val="24"/>
          <w:szCs w:val="24"/>
        </w:rPr>
        <w:t xml:space="preserve"> </w:t>
      </w:r>
      <w:r w:rsidR="00014966" w:rsidRPr="00E331A2">
        <w:rPr>
          <w:rFonts w:ascii="Times New Roman" w:hAnsi="Times New Roman" w:cs="Times New Roman"/>
          <w:color w:val="1B1C20"/>
          <w:sz w:val="24"/>
          <w:szCs w:val="24"/>
        </w:rPr>
        <w:t>Newfoundland Shelf in the late 1980s and early 1990s</w:t>
      </w:r>
      <w:r w:rsidR="00E331A2" w:rsidRPr="00E331A2">
        <w:rPr>
          <w:rFonts w:ascii="Times New Roman" w:hAnsi="Times New Roman" w:cs="Times New Roman"/>
          <w:color w:val="1B1C20"/>
          <w:sz w:val="24"/>
          <w:szCs w:val="24"/>
        </w:rPr>
        <w:t xml:space="preserve">, and </w:t>
      </w:r>
      <w:r w:rsidR="00014966" w:rsidRPr="00E331A2">
        <w:rPr>
          <w:rFonts w:ascii="Times New Roman" w:hAnsi="Times New Roman" w:cs="Times New Roman"/>
          <w:color w:val="1B1C20"/>
          <w:sz w:val="24"/>
          <w:szCs w:val="24"/>
        </w:rPr>
        <w:t>became aggregated within a small area on the north of</w:t>
      </w:r>
      <w:r w:rsidR="00E331A2">
        <w:rPr>
          <w:rFonts w:ascii="Times New Roman" w:hAnsi="Times New Roman" w:cs="Times New Roman"/>
          <w:color w:val="1B1C20"/>
          <w:sz w:val="24"/>
          <w:szCs w:val="24"/>
        </w:rPr>
        <w:t xml:space="preserve"> </w:t>
      </w:r>
      <w:r w:rsidR="00014966" w:rsidRPr="00E331A2">
        <w:rPr>
          <w:rFonts w:ascii="Times New Roman" w:hAnsi="Times New Roman" w:cs="Times New Roman"/>
          <w:color w:val="1B1C20"/>
          <w:sz w:val="24"/>
          <w:szCs w:val="24"/>
        </w:rPr>
        <w:t xml:space="preserve">the Grand Bank and in the </w:t>
      </w:r>
      <w:proofErr w:type="spellStart"/>
      <w:r w:rsidR="00014966" w:rsidRPr="00E331A2">
        <w:rPr>
          <w:rFonts w:ascii="Times New Roman" w:hAnsi="Times New Roman" w:cs="Times New Roman"/>
          <w:color w:val="1B1C20"/>
          <w:sz w:val="24"/>
          <w:szCs w:val="24"/>
        </w:rPr>
        <w:t>Bonavista</w:t>
      </w:r>
      <w:proofErr w:type="spellEnd"/>
      <w:r w:rsidR="00014966" w:rsidRPr="00E331A2">
        <w:rPr>
          <w:rFonts w:ascii="Times New Roman" w:hAnsi="Times New Roman" w:cs="Times New Roman"/>
          <w:color w:val="1B1C20"/>
          <w:sz w:val="24"/>
          <w:szCs w:val="24"/>
        </w:rPr>
        <w:t xml:space="preserve"> corridor by the early</w:t>
      </w:r>
      <w:r w:rsidR="00E331A2" w:rsidRPr="00E331A2">
        <w:rPr>
          <w:rFonts w:ascii="Times New Roman" w:hAnsi="Times New Roman" w:cs="Times New Roman"/>
          <w:color w:val="1B1C20"/>
          <w:sz w:val="24"/>
          <w:szCs w:val="24"/>
        </w:rPr>
        <w:t xml:space="preserve"> </w:t>
      </w:r>
      <w:r w:rsidR="00014966" w:rsidRPr="00E331A2">
        <w:rPr>
          <w:rFonts w:ascii="Times New Roman" w:hAnsi="Times New Roman" w:cs="Times New Roman"/>
          <w:color w:val="1B1C20"/>
          <w:sz w:val="24"/>
          <w:szCs w:val="24"/>
        </w:rPr>
        <w:t>1990s</w:t>
      </w:r>
      <w:r w:rsidR="00E331A2" w:rsidRPr="00E331A2">
        <w:rPr>
          <w:rFonts w:ascii="Times New Roman" w:hAnsi="Times New Roman" w:cs="Times New Roman"/>
          <w:color w:val="1B1C20"/>
          <w:sz w:val="24"/>
          <w:szCs w:val="24"/>
        </w:rPr>
        <w:t xml:space="preserve"> </w:t>
      </w:r>
      <w:r w:rsidR="00E331A2" w:rsidRPr="00E331A2">
        <w:rPr>
          <w:rFonts w:ascii="Times New Roman" w:hAnsi="Times New Roman" w:cs="Times New Roman"/>
          <w:color w:val="1B1C20"/>
          <w:sz w:val="24"/>
          <w:szCs w:val="24"/>
        </w:rPr>
        <w:fldChar w:fldCharType="begin"/>
      </w:r>
      <w:r w:rsidR="00E331A2" w:rsidRPr="00E331A2">
        <w:rPr>
          <w:rFonts w:ascii="Times New Roman" w:hAnsi="Times New Roman" w:cs="Times New Roman"/>
          <w:color w:val="1B1C20"/>
          <w:sz w:val="24"/>
          <w:szCs w:val="24"/>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E331A2" w:rsidRPr="00E331A2">
        <w:rPr>
          <w:rFonts w:ascii="Times New Roman" w:hAnsi="Times New Roman" w:cs="Times New Roman"/>
          <w:color w:val="1B1C20"/>
          <w:sz w:val="24"/>
          <w:szCs w:val="24"/>
        </w:rPr>
        <w:fldChar w:fldCharType="separate"/>
      </w:r>
      <w:r w:rsidR="00E331A2" w:rsidRPr="00E331A2">
        <w:rPr>
          <w:rFonts w:ascii="Times New Roman" w:hAnsi="Times New Roman" w:cs="Times New Roman"/>
          <w:color w:val="1B1C20"/>
          <w:sz w:val="24"/>
          <w:szCs w:val="24"/>
        </w:rPr>
        <w:t>(Rose et al. 2000)</w:t>
      </w:r>
      <w:r w:rsidR="00E331A2" w:rsidRPr="00E331A2">
        <w:rPr>
          <w:rFonts w:ascii="Times New Roman" w:hAnsi="Times New Roman" w:cs="Times New Roman"/>
          <w:color w:val="1B1C20"/>
          <w:sz w:val="24"/>
          <w:szCs w:val="24"/>
        </w:rPr>
        <w:fldChar w:fldCharType="end"/>
      </w:r>
      <w:r w:rsidR="00014966" w:rsidRPr="00E331A2">
        <w:rPr>
          <w:rFonts w:ascii="Times New Roman" w:hAnsi="Times New Roman" w:cs="Times New Roman"/>
          <w:color w:val="1B1C20"/>
          <w:sz w:val="24"/>
          <w:szCs w:val="24"/>
        </w:rPr>
        <w:t xml:space="preserve">. </w:t>
      </w:r>
      <w:r w:rsidR="00E331A2" w:rsidRPr="00E331A2">
        <w:rPr>
          <w:rFonts w:ascii="Times New Roman" w:hAnsi="Times New Roman" w:cs="Times New Roman"/>
          <w:color w:val="1B1C20"/>
          <w:sz w:val="24"/>
          <w:szCs w:val="24"/>
        </w:rPr>
        <w:t xml:space="preserve">One of the hypotheses proposed by </w:t>
      </w:r>
      <w:r w:rsidR="00E331A2" w:rsidRPr="00E331A2">
        <w:rPr>
          <w:rFonts w:ascii="Times New Roman" w:hAnsi="Times New Roman" w:cs="Times New Roman"/>
          <w:color w:val="1B1C20"/>
          <w:sz w:val="24"/>
          <w:szCs w:val="24"/>
        </w:rPr>
        <w:fldChar w:fldCharType="begin"/>
      </w:r>
      <w:r w:rsidR="00E331A2" w:rsidRPr="00E331A2">
        <w:rPr>
          <w:rFonts w:ascii="Times New Roman" w:hAnsi="Times New Roman" w:cs="Times New Roman"/>
          <w:color w:val="1B1C20"/>
          <w:sz w:val="24"/>
          <w:szCs w:val="24"/>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E331A2" w:rsidRPr="00E331A2">
        <w:rPr>
          <w:rFonts w:ascii="Times New Roman" w:hAnsi="Times New Roman" w:cs="Times New Roman"/>
          <w:color w:val="1B1C20"/>
          <w:sz w:val="24"/>
          <w:szCs w:val="24"/>
        </w:rPr>
        <w:fldChar w:fldCharType="separate"/>
      </w:r>
      <w:r w:rsidR="00E331A2" w:rsidRPr="00E331A2">
        <w:rPr>
          <w:rFonts w:ascii="Times New Roman" w:hAnsi="Times New Roman" w:cs="Times New Roman"/>
          <w:color w:val="1B1C20"/>
          <w:sz w:val="24"/>
          <w:szCs w:val="24"/>
        </w:rPr>
        <w:t>Rose et al. (2000)</w:t>
      </w:r>
      <w:r w:rsidR="00E331A2" w:rsidRPr="00E331A2">
        <w:rPr>
          <w:rFonts w:ascii="Times New Roman" w:hAnsi="Times New Roman" w:cs="Times New Roman"/>
          <w:color w:val="1B1C20"/>
          <w:sz w:val="24"/>
          <w:szCs w:val="24"/>
        </w:rPr>
        <w:fldChar w:fldCharType="end"/>
      </w:r>
      <w:r w:rsidR="00E331A2" w:rsidRPr="00E331A2">
        <w:rPr>
          <w:rFonts w:ascii="Times New Roman" w:hAnsi="Times New Roman" w:cs="Times New Roman"/>
          <w:color w:val="1B1C20"/>
          <w:sz w:val="24"/>
          <w:szCs w:val="24"/>
        </w:rPr>
        <w:t xml:space="preserve">  to explain this shift in the distribution of cod is that they did so in response to the distribution of capelin. </w:t>
      </w:r>
      <w:r w:rsidR="00E331A2">
        <w:rPr>
          <w:rFonts w:ascii="Times New Roman" w:hAnsi="Times New Roman" w:cs="Times New Roman"/>
          <w:color w:val="1B1C20"/>
          <w:sz w:val="24"/>
          <w:szCs w:val="24"/>
        </w:rPr>
        <w:t>T</w:t>
      </w:r>
      <w:r w:rsidR="00E331A2" w:rsidRPr="00E331A2">
        <w:rPr>
          <w:rFonts w:ascii="Times New Roman" w:hAnsi="Times New Roman" w:cs="Times New Roman"/>
          <w:color w:val="1B1C20"/>
          <w:sz w:val="24"/>
          <w:szCs w:val="24"/>
        </w:rPr>
        <w: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F00BFB" w:rsidRDefault="00F00BFB">
      <w:pPr>
        <w:rPr>
          <w:lang w:val="en-US"/>
        </w:rPr>
      </w:pPr>
    </w:p>
    <w:p w:rsidR="00E331A2" w:rsidRPr="00E331A2" w:rsidRDefault="00F00BFB" w:rsidP="00E331A2">
      <w:pPr>
        <w:pStyle w:val="EndNoteBibliography"/>
      </w:pPr>
      <w:r>
        <w:fldChar w:fldCharType="begin"/>
      </w:r>
      <w:r>
        <w:instrText xml:space="preserve"> ADDIN EN.REFLIST </w:instrText>
      </w:r>
      <w:r>
        <w:fldChar w:fldCharType="separate"/>
      </w:r>
      <w:r w:rsidR="00E331A2" w:rsidRPr="00E331A2">
        <w:t>Buren AD, Koen-Alonso M, Stenson GB (2014) The role of harp seals, fisheries and food availability in driving the dynamics of northern cod. Marine Ecology Progress Series 511:265-284</w:t>
      </w:r>
    </w:p>
    <w:p w:rsidR="00E331A2" w:rsidRPr="00E331A2" w:rsidRDefault="00E331A2" w:rsidP="00E331A2">
      <w:pPr>
        <w:pStyle w:val="EndNoteBibliography"/>
      </w:pPr>
      <w:r w:rsidRPr="00E331A2">
        <w:lastRenderedPageBreak/>
        <w:t>Foster AR, Houlihan DF, Hall SI (1993) Effects of Nutritional Regime on Correlates of Growth Rate in Juvenile Atlantic Cod (Gadus morhua): Comparison of Morphological and Biochemical Measurements. Canadian Journal of Fisheries and Aquatic Sciences 50:502-512</w:t>
      </w:r>
    </w:p>
    <w:p w:rsidR="00E331A2" w:rsidRPr="00E331A2" w:rsidRDefault="00E331A2" w:rsidP="00E331A2">
      <w:pPr>
        <w:pStyle w:val="EndNoteBibliography"/>
      </w:pPr>
      <w:r w:rsidRPr="00E331A2">
        <w:t>Frank KT, Carscadden JE, Simon JE (1996) Recent excursions of capelin (</w:t>
      </w:r>
      <w:r w:rsidRPr="00E331A2">
        <w:rPr>
          <w:i/>
        </w:rPr>
        <w:t>Mallotus villosus</w:t>
      </w:r>
      <w:r w:rsidRPr="00E331A2">
        <w:t>) to the Scotian Shelf and Flemish Cap during anomalous hydrographic conditions. Canadian Journal of Fisheries and Aquatic Sciences 53:1473-1486</w:t>
      </w:r>
    </w:p>
    <w:p w:rsidR="00E331A2" w:rsidRPr="00E331A2" w:rsidRDefault="00E331A2" w:rsidP="00E331A2">
      <w:pPr>
        <w:pStyle w:val="EndNoteBibliography"/>
      </w:pPr>
      <w:r w:rsidRPr="00E331A2">
        <w:t>Frank KT, Petrie B, Boyce D, Leggett WC (2016) Anomalous ecosystem dynamics following the apparent collapse of a keystone forage species. Marine Ecology Progress Series 553:185-202</w:t>
      </w:r>
    </w:p>
    <w:p w:rsidR="00E331A2" w:rsidRPr="00E331A2" w:rsidRDefault="00E331A2" w:rsidP="00E331A2">
      <w:pPr>
        <w:pStyle w:val="EndNoteBibliography"/>
      </w:pPr>
      <w:r w:rsidRPr="00E331A2">
        <w:t>ICES (2005) Spawning and life history information for North Atlantic cod stocks. In: Brander KM (ed) ICES Cooperative Research Report, Book 274. ICES, Copenhagen, Denmark</w:t>
      </w:r>
    </w:p>
    <w:p w:rsidR="00E331A2" w:rsidRPr="00E331A2" w:rsidRDefault="00E331A2" w:rsidP="00E331A2">
      <w:pPr>
        <w:pStyle w:val="EndNoteBibliography"/>
      </w:pPr>
      <w:r w:rsidRPr="00E331A2">
        <w:t>Lambert Y, Dutil J-D (1997a) Can simple condition indices be used to monitor and quantify seasonal changes in the energy reserves of cod (</w:t>
      </w:r>
      <w:r w:rsidRPr="00E331A2">
        <w:rPr>
          <w:i/>
        </w:rPr>
        <w:t>Gadus morhua</w:t>
      </w:r>
      <w:r w:rsidRPr="00E331A2">
        <w:t>)? Canadian Journal of Fisheries and Aquatic Sciences 54:104-112</w:t>
      </w:r>
    </w:p>
    <w:p w:rsidR="00E331A2" w:rsidRPr="00E331A2" w:rsidRDefault="00E331A2" w:rsidP="00E331A2">
      <w:pPr>
        <w:pStyle w:val="EndNoteBibliography"/>
      </w:pPr>
      <w:r w:rsidRPr="00E331A2">
        <w:t>Lambert Y, Dutil J-D (1997b) Condition and energy reserves of Atlantic cod (</w:t>
      </w:r>
      <w:r w:rsidRPr="00E331A2">
        <w:rPr>
          <w:i/>
        </w:rPr>
        <w:t>Gadus morhua</w:t>
      </w:r>
      <w:r w:rsidRPr="00E331A2">
        <w:t>) during the collapse of the northern Gulf of St. Lawrence stock. Canadian Journal of Fisheries and Aquatic Sciences 54:2388-2400</w:t>
      </w:r>
    </w:p>
    <w:p w:rsidR="00E331A2" w:rsidRPr="00E331A2" w:rsidRDefault="00E331A2" w:rsidP="00E331A2">
      <w:pPr>
        <w:pStyle w:val="EndNoteBibliography"/>
      </w:pPr>
      <w:r w:rsidRPr="00E331A2">
        <w:t>Lilly GR, Davis DJ (1993) Changes in the distribution of capelin in Divisions 2J, 3K and 3L in the autumns of recent years, as inferred from bottom-trawl by-catches and cod stomachs examinations. NAFO SCR Doc 93/54</w:t>
      </w:r>
    </w:p>
    <w:p w:rsidR="00E331A2" w:rsidRPr="00E331A2" w:rsidRDefault="00E331A2" w:rsidP="00E331A2">
      <w:pPr>
        <w:pStyle w:val="EndNoteBibliography"/>
      </w:pPr>
      <w:r w:rsidRPr="00E331A2">
        <w:t>Marshall CT, Needle CL, Yaragina NA, Ajiad AM, Gusev E (2004) Deriving condition indices from standard fisheries databases and evaluating their sensitivity to variation in stored energy reserves. Canadian Journal of Fisheries and Aquatic Sciences 61:1900-1917</w:t>
      </w:r>
    </w:p>
    <w:p w:rsidR="00E331A2" w:rsidRPr="00E331A2" w:rsidRDefault="00E331A2" w:rsidP="00E331A2">
      <w:pPr>
        <w:pStyle w:val="EndNoteBibliography"/>
      </w:pPr>
      <w:r w:rsidRPr="00E331A2">
        <w:t>Miller DS (1994) Results from an acoustic survey for capelin (</w:t>
      </w:r>
      <w:r w:rsidRPr="00E331A2">
        <w:rPr>
          <w:i/>
        </w:rPr>
        <w:t>Mallotus villosus</w:t>
      </w:r>
      <w:r w:rsidRPr="00E331A2">
        <w:t>) in NAFO Divisions 2J3KL in the autumn of 1993.  Capelin in SA2 + Div 3KL DFO Atlantic Fisheries Research Document 94/18</w:t>
      </w:r>
    </w:p>
    <w:p w:rsidR="00E331A2" w:rsidRPr="00E331A2" w:rsidRDefault="00E331A2" w:rsidP="00E331A2">
      <w:pPr>
        <w:pStyle w:val="EndNoteBibliography"/>
      </w:pPr>
      <w:r w:rsidRPr="00E331A2">
        <w:t>Morgan MJ, Koen-Alonso M, Rideout RM, Buren AD, Maddock Parsons D (2017) Growth and condition in relation to the lack of recovery of northern cod. ICES Journal of Marine Science:fsx166-fsx166</w:t>
      </w:r>
    </w:p>
    <w:p w:rsidR="00E331A2" w:rsidRPr="00E331A2" w:rsidRDefault="00E331A2" w:rsidP="00E331A2">
      <w:pPr>
        <w:pStyle w:val="EndNoteBibliography"/>
      </w:pPr>
      <w:r w:rsidRPr="00E331A2">
        <w:t>Morgan MJ, Rideout RM, Colbourne EB (2010) Impact of environmental temperature on Atlantic cod Gadus morhua energy allocation to growth, condition and reproduction. Marine Ecology Progress Series 404:185-195</w:t>
      </w:r>
    </w:p>
    <w:p w:rsidR="00E331A2" w:rsidRPr="00E331A2" w:rsidRDefault="00E331A2" w:rsidP="00E331A2">
      <w:pPr>
        <w:pStyle w:val="EndNoteBibliography"/>
      </w:pPr>
      <w:r w:rsidRPr="00E331A2">
        <w:t>Pardoe H, Marteinsdóttir G (2009) Contrasting trends in two condition indices: bathymetric and spatial variation in autumn condition of Icelandic cod Gadus morhua. Journal of Fish Biology 75:282-289</w:t>
      </w:r>
    </w:p>
    <w:p w:rsidR="00E331A2" w:rsidRPr="00E331A2" w:rsidRDefault="00E331A2" w:rsidP="00E331A2">
      <w:pPr>
        <w:pStyle w:val="EndNoteBibliography"/>
      </w:pPr>
      <w:r w:rsidRPr="00E331A2">
        <w:t>Pardoe H, Thórdarson G, Marteinsdóttir G (2008) Spatial and temporal trends in condition of Atlantic cod Gadus morhua on the Icelandic shelf. Marine Ecology Progress Series 362:261-277</w:t>
      </w:r>
    </w:p>
    <w:p w:rsidR="00E331A2" w:rsidRPr="00E331A2" w:rsidRDefault="00E331A2" w:rsidP="00E331A2">
      <w:pPr>
        <w:pStyle w:val="EndNoteBibliography"/>
      </w:pPr>
      <w:r w:rsidRPr="00E331A2">
        <w:t>Pepin P, Cuff A, Koen-Alonso M, Ollerhead N (2010) Preliminary Analysis for the Delineation of Marine Ecoregions on the NL Shelves. NAFO SCR Doc 10/72</w:t>
      </w:r>
    </w:p>
    <w:p w:rsidR="00E331A2" w:rsidRPr="00E331A2" w:rsidRDefault="00E331A2" w:rsidP="00E331A2">
      <w:pPr>
        <w:pStyle w:val="EndNoteBibliography"/>
      </w:pPr>
      <w:r w:rsidRPr="00E331A2">
        <w:lastRenderedPageBreak/>
        <w:t>Pepin P, Higdon J, Koen-Alonso M, Fogarty M, Ollerhead N (2014) Application of ecoregion analysis to the identification of Ecosystem Production Units (EPUs) in the NAFO Convention Area. NAFO SCR Doc 14/069</w:t>
      </w:r>
    </w:p>
    <w:p w:rsidR="00E331A2" w:rsidRPr="00E331A2" w:rsidRDefault="00E331A2" w:rsidP="00E331A2">
      <w:pPr>
        <w:pStyle w:val="EndNoteBibliography"/>
      </w:pPr>
      <w:r w:rsidRPr="00E331A2">
        <w:t>Pepin P, Koen-Alonso M, Higdon J, Ollerhead N (2012) Robustness in the delineation of ecoregions on the Newfoundland and Labrador continental shelf. NAFO SCR Doc 12/067</w:t>
      </w:r>
    </w:p>
    <w:p w:rsidR="00E331A2" w:rsidRPr="00E331A2" w:rsidRDefault="00E331A2" w:rsidP="00E331A2">
      <w:pPr>
        <w:pStyle w:val="EndNoteBibliography"/>
      </w:pPr>
      <w:r w:rsidRPr="00E331A2">
        <w:t>Rose GA, deYoung B, Kulka DW, Goddard SV, Fletcher GL (2000) Distribution shifts and overfishing the northern cod (Gadus morhua): a view from the ocean. Canadian Journal of Fisheries and Aquatic Sciences 57:644-663</w:t>
      </w:r>
    </w:p>
    <w:p w:rsidR="00284FC9" w:rsidRPr="00FE7992" w:rsidRDefault="00F00BFB">
      <w:pPr>
        <w:rPr>
          <w:lang w:val="en-US"/>
        </w:rPr>
      </w:pPr>
      <w:r>
        <w:rPr>
          <w:lang w:val="en-US"/>
        </w:rPr>
        <w:fldChar w:fldCharType="end"/>
      </w:r>
    </w:p>
    <w:sectPr w:rsidR="00284FC9" w:rsidRPr="00FE79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ida-Roman">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ndida-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33298"/>
    <w:multiLevelType w:val="hybridMultilevel"/>
    <w:tmpl w:val="6B32F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8D06E68"/>
    <w:multiLevelType w:val="hybridMultilevel"/>
    <w:tmpl w:val="DAE62D3A"/>
    <w:lvl w:ilvl="0" w:tplc="4E546194">
      <w:start w:val="1"/>
      <w:numFmt w:val="decimal"/>
      <w:lvlText w:val="%1."/>
      <w:lvlJc w:val="left"/>
      <w:pPr>
        <w:ind w:left="720" w:hanging="360"/>
      </w:pPr>
      <w:rPr>
        <w:rFonts w:ascii="Candida-Roman" w:hAnsi="Candida-Roman"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139&lt;/item&gt;&lt;item&gt;235&lt;/item&gt;&lt;item&gt;651&lt;/item&gt;&lt;item&gt;652&lt;/item&gt;&lt;item&gt;822&lt;/item&gt;&lt;item&gt;885&lt;/item&gt;&lt;item&gt;890&lt;/item&gt;&lt;item&gt;892&lt;/item&gt;&lt;item&gt;893&lt;/item&gt;&lt;item&gt;894&lt;/item&gt;&lt;item&gt;911&lt;/item&gt;&lt;item&gt;912&lt;/item&gt;&lt;item&gt;913&lt;/item&gt;&lt;item&gt;914&lt;/item&gt;&lt;item&gt;915&lt;/item&gt;&lt;item&gt;916&lt;/item&gt;&lt;item&gt;917&lt;/item&gt;&lt;item&gt;918&lt;/item&gt;&lt;/record-ids&gt;&lt;/item&gt;&lt;/Libraries&gt;"/>
  </w:docVars>
  <w:rsids>
    <w:rsidRoot w:val="00FE7992"/>
    <w:rsid w:val="0000034E"/>
    <w:rsid w:val="00014966"/>
    <w:rsid w:val="00024341"/>
    <w:rsid w:val="000B244D"/>
    <w:rsid w:val="000C4844"/>
    <w:rsid w:val="00200135"/>
    <w:rsid w:val="00284FC9"/>
    <w:rsid w:val="003C11A3"/>
    <w:rsid w:val="00417B09"/>
    <w:rsid w:val="004A405E"/>
    <w:rsid w:val="004E7CB0"/>
    <w:rsid w:val="00774478"/>
    <w:rsid w:val="007A71A0"/>
    <w:rsid w:val="00922FEB"/>
    <w:rsid w:val="00967EFC"/>
    <w:rsid w:val="00976109"/>
    <w:rsid w:val="00A23BEE"/>
    <w:rsid w:val="00AB7D1B"/>
    <w:rsid w:val="00B51A8E"/>
    <w:rsid w:val="00CB4ABD"/>
    <w:rsid w:val="00D409EE"/>
    <w:rsid w:val="00D72E8E"/>
    <w:rsid w:val="00E331A2"/>
    <w:rsid w:val="00F00BFB"/>
    <w:rsid w:val="00F81D50"/>
    <w:rsid w:val="00F81D7E"/>
    <w:rsid w:val="00FD17F5"/>
    <w:rsid w:val="00FE79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7992"/>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FE7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992"/>
    <w:rPr>
      <w:rFonts w:ascii="Arial" w:eastAsia="Times New Roman" w:hAnsi="Arial" w:cs="Arial"/>
      <w:b/>
      <w:bCs/>
      <w:i/>
      <w:iCs/>
      <w:sz w:val="28"/>
      <w:szCs w:val="28"/>
      <w:lang w:eastAsia="en-CA"/>
    </w:rPr>
  </w:style>
  <w:style w:type="character" w:customStyle="1" w:styleId="Heading3Char">
    <w:name w:val="Heading 3 Char"/>
    <w:basedOn w:val="DefaultParagraphFont"/>
    <w:link w:val="Heading3"/>
    <w:uiPriority w:val="9"/>
    <w:rsid w:val="00FE7992"/>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A23BEE"/>
    <w:rPr>
      <w:rFonts w:ascii="Candida-Bold" w:hAnsi="Candida-Bold" w:hint="default"/>
      <w:b/>
      <w:bCs/>
      <w:i w:val="0"/>
      <w:iCs w:val="0"/>
      <w:color w:val="1B1C20"/>
      <w:sz w:val="20"/>
      <w:szCs w:val="20"/>
    </w:rPr>
  </w:style>
  <w:style w:type="character" w:customStyle="1" w:styleId="fontstyle21">
    <w:name w:val="fontstyle21"/>
    <w:basedOn w:val="DefaultParagraphFont"/>
    <w:rsid w:val="00A23BEE"/>
    <w:rPr>
      <w:rFonts w:ascii="Candida-Roman" w:hAnsi="Candida-Roman" w:hint="default"/>
      <w:b w:val="0"/>
      <w:bCs w:val="0"/>
      <w:i w:val="0"/>
      <w:iCs w:val="0"/>
      <w:color w:val="1B1C20"/>
      <w:sz w:val="20"/>
      <w:szCs w:val="20"/>
    </w:rPr>
  </w:style>
  <w:style w:type="paragraph" w:styleId="BalloonText">
    <w:name w:val="Balloon Text"/>
    <w:basedOn w:val="Normal"/>
    <w:link w:val="BalloonTextChar"/>
    <w:uiPriority w:val="99"/>
    <w:semiHidden/>
    <w:unhideWhenUsed/>
    <w:rsid w:val="007A7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1A0"/>
    <w:rPr>
      <w:rFonts w:ascii="Tahoma" w:hAnsi="Tahoma" w:cs="Tahoma"/>
      <w:sz w:val="16"/>
      <w:szCs w:val="16"/>
    </w:rPr>
  </w:style>
  <w:style w:type="paragraph" w:styleId="ListParagraph">
    <w:name w:val="List Paragraph"/>
    <w:basedOn w:val="Normal"/>
    <w:uiPriority w:val="34"/>
    <w:qFormat/>
    <w:rsid w:val="00922FEB"/>
    <w:pPr>
      <w:ind w:left="720"/>
      <w:contextualSpacing/>
    </w:pPr>
  </w:style>
  <w:style w:type="paragraph" w:customStyle="1" w:styleId="EndNoteBibliographyTitle">
    <w:name w:val="EndNote Bibliography Title"/>
    <w:basedOn w:val="Normal"/>
    <w:link w:val="EndNoteBibliographyTitleChar"/>
    <w:rsid w:val="00F00BFB"/>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0BFB"/>
    <w:rPr>
      <w:rFonts w:ascii="Calibri" w:hAnsi="Calibri"/>
      <w:noProof/>
      <w:lang w:val="en-US"/>
    </w:rPr>
  </w:style>
  <w:style w:type="paragraph" w:customStyle="1" w:styleId="EndNoteBibliography">
    <w:name w:val="EndNote Bibliography"/>
    <w:basedOn w:val="Normal"/>
    <w:link w:val="EndNoteBibliographyChar"/>
    <w:rsid w:val="00F00BFB"/>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0BFB"/>
    <w:rPr>
      <w:rFonts w:ascii="Calibri" w:hAnsi="Calibri"/>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E7992"/>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FE7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7992"/>
    <w:rPr>
      <w:rFonts w:ascii="Arial" w:eastAsia="Times New Roman" w:hAnsi="Arial" w:cs="Arial"/>
      <w:b/>
      <w:bCs/>
      <w:i/>
      <w:iCs/>
      <w:sz w:val="28"/>
      <w:szCs w:val="28"/>
      <w:lang w:eastAsia="en-CA"/>
    </w:rPr>
  </w:style>
  <w:style w:type="character" w:customStyle="1" w:styleId="Heading3Char">
    <w:name w:val="Heading 3 Char"/>
    <w:basedOn w:val="DefaultParagraphFont"/>
    <w:link w:val="Heading3"/>
    <w:uiPriority w:val="9"/>
    <w:rsid w:val="00FE7992"/>
    <w:rPr>
      <w:rFonts w:asciiTheme="majorHAnsi" w:eastAsiaTheme="majorEastAsia" w:hAnsiTheme="majorHAnsi" w:cstheme="majorBidi"/>
      <w:b/>
      <w:bCs/>
      <w:color w:val="4F81BD" w:themeColor="accent1"/>
    </w:rPr>
  </w:style>
  <w:style w:type="character" w:customStyle="1" w:styleId="fontstyle01">
    <w:name w:val="fontstyle01"/>
    <w:basedOn w:val="DefaultParagraphFont"/>
    <w:rsid w:val="00A23BEE"/>
    <w:rPr>
      <w:rFonts w:ascii="Candida-Bold" w:hAnsi="Candida-Bold" w:hint="default"/>
      <w:b/>
      <w:bCs/>
      <w:i w:val="0"/>
      <w:iCs w:val="0"/>
      <w:color w:val="1B1C20"/>
      <w:sz w:val="20"/>
      <w:szCs w:val="20"/>
    </w:rPr>
  </w:style>
  <w:style w:type="character" w:customStyle="1" w:styleId="fontstyle21">
    <w:name w:val="fontstyle21"/>
    <w:basedOn w:val="DefaultParagraphFont"/>
    <w:rsid w:val="00A23BEE"/>
    <w:rPr>
      <w:rFonts w:ascii="Candida-Roman" w:hAnsi="Candida-Roman" w:hint="default"/>
      <w:b w:val="0"/>
      <w:bCs w:val="0"/>
      <w:i w:val="0"/>
      <w:iCs w:val="0"/>
      <w:color w:val="1B1C20"/>
      <w:sz w:val="20"/>
      <w:szCs w:val="20"/>
    </w:rPr>
  </w:style>
  <w:style w:type="paragraph" w:styleId="BalloonText">
    <w:name w:val="Balloon Text"/>
    <w:basedOn w:val="Normal"/>
    <w:link w:val="BalloonTextChar"/>
    <w:uiPriority w:val="99"/>
    <w:semiHidden/>
    <w:unhideWhenUsed/>
    <w:rsid w:val="007A7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1A0"/>
    <w:rPr>
      <w:rFonts w:ascii="Tahoma" w:hAnsi="Tahoma" w:cs="Tahoma"/>
      <w:sz w:val="16"/>
      <w:szCs w:val="16"/>
    </w:rPr>
  </w:style>
  <w:style w:type="paragraph" w:styleId="ListParagraph">
    <w:name w:val="List Paragraph"/>
    <w:basedOn w:val="Normal"/>
    <w:uiPriority w:val="34"/>
    <w:qFormat/>
    <w:rsid w:val="00922FEB"/>
    <w:pPr>
      <w:ind w:left="720"/>
      <w:contextualSpacing/>
    </w:pPr>
  </w:style>
  <w:style w:type="paragraph" w:customStyle="1" w:styleId="EndNoteBibliographyTitle">
    <w:name w:val="EndNote Bibliography Title"/>
    <w:basedOn w:val="Normal"/>
    <w:link w:val="EndNoteBibliographyTitleChar"/>
    <w:rsid w:val="00F00BFB"/>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F00BFB"/>
    <w:rPr>
      <w:rFonts w:ascii="Calibri" w:hAnsi="Calibri"/>
      <w:noProof/>
      <w:lang w:val="en-US"/>
    </w:rPr>
  </w:style>
  <w:style w:type="paragraph" w:customStyle="1" w:styleId="EndNoteBibliography">
    <w:name w:val="EndNote Bibliography"/>
    <w:basedOn w:val="Normal"/>
    <w:link w:val="EndNoteBibliographyChar"/>
    <w:rsid w:val="00F00BFB"/>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F00BFB"/>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0072">
      <w:bodyDiv w:val="1"/>
      <w:marLeft w:val="0"/>
      <w:marRight w:val="0"/>
      <w:marTop w:val="0"/>
      <w:marBottom w:val="0"/>
      <w:divBdr>
        <w:top w:val="none" w:sz="0" w:space="0" w:color="auto"/>
        <w:left w:val="none" w:sz="0" w:space="0" w:color="auto"/>
        <w:bottom w:val="none" w:sz="0" w:space="0" w:color="auto"/>
        <w:right w:val="none" w:sz="0" w:space="0" w:color="auto"/>
      </w:divBdr>
    </w:div>
    <w:div w:id="128400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4</cp:revision>
  <cp:lastPrinted>2018-02-01T17:03:00Z</cp:lastPrinted>
  <dcterms:created xsi:type="dcterms:W3CDTF">2018-02-07T19:06:00Z</dcterms:created>
  <dcterms:modified xsi:type="dcterms:W3CDTF">2018-02-08T16:22:00Z</dcterms:modified>
</cp:coreProperties>
</file>