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FEB" w:rsidRDefault="00922FEB">
      <w:pPr>
        <w:rPr>
          <w:rFonts w:ascii="Candida-Roman" w:hAnsi="Candida-Roman"/>
          <w:color w:val="1B1C20"/>
          <w:sz w:val="20"/>
          <w:szCs w:val="20"/>
        </w:rPr>
      </w:pPr>
      <w:r>
        <w:rPr>
          <w:rFonts w:ascii="Candida-Roman" w:hAnsi="Candida-Roman"/>
          <w:color w:val="1B1C20"/>
          <w:sz w:val="20"/>
          <w:szCs w:val="20"/>
        </w:rPr>
        <w:t>FROM INTRO</w:t>
      </w:r>
    </w:p>
    <w:p w:rsidR="00922FEB" w:rsidRDefault="00922FEB">
      <w:pPr>
        <w:rPr>
          <w:rFonts w:ascii="Candida-Roman" w:hAnsi="Candida-Roman"/>
          <w:color w:val="1B1C20"/>
          <w:sz w:val="20"/>
          <w:szCs w:val="20"/>
        </w:rPr>
      </w:pPr>
      <w:r w:rsidRPr="00922FEB">
        <w:rPr>
          <w:rFonts w:ascii="Candida-Roman" w:hAnsi="Candida-Roman"/>
          <w:color w:val="1B1C20"/>
          <w:sz w:val="20"/>
          <w:szCs w:val="20"/>
        </w:rPr>
        <w:t>The ecosystem and species-level impacts of biomass declines of capelin in other North Atlantic</w:t>
      </w:r>
      <w:r w:rsidRPr="00922FEB">
        <w:rPr>
          <w:rFonts w:ascii="Candida-Roman" w:hAnsi="Candida-Roman"/>
          <w:color w:val="1B1C20"/>
          <w:sz w:val="20"/>
          <w:szCs w:val="20"/>
        </w:rPr>
        <w:br/>
        <w:t>regions (Iceland and Barents Sea) provide insight</w:t>
      </w:r>
      <w:r w:rsidRPr="00922FEB">
        <w:rPr>
          <w:rFonts w:ascii="Candida-Roman" w:hAnsi="Candida-Roman"/>
          <w:color w:val="1B1C20"/>
          <w:sz w:val="20"/>
          <w:szCs w:val="20"/>
        </w:rPr>
        <w:br/>
        <w:t>into what might have been expected in the NL marine environment. In the Iceland ecosystem, overfishing led to a dramatic decline of capelin biomass</w:t>
      </w:r>
      <w:r w:rsidRPr="00922FEB">
        <w:rPr>
          <w:rFonts w:ascii="Candida-Roman" w:hAnsi="Candida-Roman"/>
          <w:color w:val="1B1C20"/>
          <w:sz w:val="20"/>
          <w:szCs w:val="20"/>
        </w:rPr>
        <w:br/>
        <w:t>from 2 Mt in 1978 to 0.3 Mt (85% decrease) in 1982</w:t>
      </w:r>
      <w:r w:rsidRPr="00922FEB">
        <w:rPr>
          <w:rFonts w:ascii="Candida-Roman" w:hAnsi="Candida-Roman"/>
          <w:color w:val="1B1C20"/>
          <w:sz w:val="20"/>
          <w:szCs w:val="20"/>
        </w:rPr>
        <w:br/>
        <w:t xml:space="preserve">and, in response, the weight at age of Icelandic </w:t>
      </w:r>
      <w:proofErr w:type="gramStart"/>
      <w:r w:rsidRPr="00922FEB">
        <w:rPr>
          <w:rFonts w:ascii="Candida-Roman" w:hAnsi="Candida-Roman"/>
          <w:color w:val="1B1C20"/>
          <w:sz w:val="20"/>
          <w:szCs w:val="20"/>
        </w:rPr>
        <w:t>cod</w:t>
      </w:r>
      <w:proofErr w:type="gramEnd"/>
      <w:r w:rsidRPr="00922FEB">
        <w:rPr>
          <w:rFonts w:ascii="Candida-Roman" w:hAnsi="Candida-Roman"/>
          <w:color w:val="1B1C20"/>
          <w:sz w:val="20"/>
          <w:szCs w:val="20"/>
        </w:rPr>
        <w:br/>
        <w:t xml:space="preserve">(ages 5-8 </w:t>
      </w:r>
      <w:proofErr w:type="spellStart"/>
      <w:r w:rsidRPr="00922FEB">
        <w:rPr>
          <w:rFonts w:ascii="Candida-Roman" w:hAnsi="Candida-Roman"/>
          <w:color w:val="1B1C20"/>
          <w:sz w:val="20"/>
          <w:szCs w:val="20"/>
        </w:rPr>
        <w:t>yr</w:t>
      </w:r>
      <w:proofErr w:type="spellEnd"/>
      <w:r w:rsidRPr="00922FEB">
        <w:rPr>
          <w:rFonts w:ascii="Candida-Roman" w:hAnsi="Candida-Roman"/>
          <w:color w:val="1B1C20"/>
          <w:sz w:val="20"/>
          <w:szCs w:val="20"/>
        </w:rPr>
        <w:t>) declined by 25-30% (</w:t>
      </w:r>
      <w:proofErr w:type="spellStart"/>
      <w:r w:rsidRPr="00922FEB">
        <w:rPr>
          <w:rFonts w:ascii="Candida-Roman" w:hAnsi="Candida-Roman"/>
          <w:color w:val="1B1C20"/>
          <w:sz w:val="20"/>
          <w:szCs w:val="20"/>
        </w:rPr>
        <w:t>Vilhjálmsson</w:t>
      </w:r>
      <w:proofErr w:type="spellEnd"/>
      <w:r w:rsidRPr="00922FEB">
        <w:rPr>
          <w:rFonts w:ascii="Candida-Roman" w:hAnsi="Candida-Roman"/>
          <w:color w:val="1B1C20"/>
          <w:sz w:val="20"/>
          <w:szCs w:val="20"/>
        </w:rPr>
        <w:br/>
        <w:t>2002). Similar responses were observed in the Barents Sea, where overfishing of capelin during the</w:t>
      </w:r>
      <w:r w:rsidRPr="00922FEB">
        <w:rPr>
          <w:rFonts w:ascii="Candida-Roman" w:hAnsi="Candida-Roman"/>
          <w:color w:val="1B1C20"/>
          <w:sz w:val="20"/>
          <w:szCs w:val="20"/>
        </w:rPr>
        <w:br/>
        <w:t>1980s resulted in a sudden 6 Mt collapse (</w:t>
      </w:r>
      <w:proofErr w:type="spellStart"/>
      <w:r w:rsidRPr="00922FEB">
        <w:rPr>
          <w:rFonts w:ascii="Candida-Roman" w:hAnsi="Candida-Roman"/>
          <w:color w:val="1B1C20"/>
          <w:sz w:val="20"/>
          <w:szCs w:val="20"/>
        </w:rPr>
        <w:t>Gjøsæteret</w:t>
      </w:r>
      <w:proofErr w:type="spellEnd"/>
      <w:r w:rsidRPr="00922FEB">
        <w:rPr>
          <w:rFonts w:ascii="Candida-Roman" w:hAnsi="Candida-Roman"/>
          <w:color w:val="1B1C20"/>
          <w:sz w:val="20"/>
          <w:szCs w:val="20"/>
        </w:rPr>
        <w:t xml:space="preserve"> al. 2009). This was followed by a 1-2 kg</w:t>
      </w:r>
      <w:r w:rsidRPr="00922FEB">
        <w:rPr>
          <w:rFonts w:ascii="Candida-Roman" w:hAnsi="Candida-Roman"/>
          <w:color w:val="1B1C20"/>
          <w:sz w:val="20"/>
          <w:szCs w:val="20"/>
        </w:rPr>
        <w:br/>
        <w:t xml:space="preserve">reduction in the average weight at age of 4-6 </w:t>
      </w:r>
      <w:proofErr w:type="spellStart"/>
      <w:r w:rsidRPr="00922FEB">
        <w:rPr>
          <w:rFonts w:ascii="Candida-Roman" w:hAnsi="Candida-Roman"/>
          <w:color w:val="1B1C20"/>
          <w:sz w:val="20"/>
          <w:szCs w:val="20"/>
        </w:rPr>
        <w:t>yr</w:t>
      </w:r>
      <w:proofErr w:type="spellEnd"/>
      <w:r w:rsidRPr="00922FEB">
        <w:rPr>
          <w:rFonts w:ascii="Candida-Roman" w:hAnsi="Candida-Roman"/>
          <w:color w:val="1B1C20"/>
          <w:sz w:val="20"/>
          <w:szCs w:val="20"/>
        </w:rPr>
        <w:t xml:space="preserve"> old</w:t>
      </w:r>
      <w:r w:rsidRPr="00922FEB">
        <w:rPr>
          <w:rFonts w:ascii="Candida-Roman" w:hAnsi="Candida-Roman"/>
          <w:color w:val="1B1C20"/>
          <w:sz w:val="20"/>
          <w:szCs w:val="20"/>
        </w:rPr>
        <w:br/>
        <w:t>cod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xml:space="preserve"> </w:t>
      </w:r>
    </w:p>
    <w:p w:rsidR="00922FEB" w:rsidRDefault="00922FEB">
      <w:pPr>
        <w:rPr>
          <w:rFonts w:ascii="Candida-Roman" w:hAnsi="Candida-Roman"/>
          <w:color w:val="1B1C20"/>
          <w:sz w:val="20"/>
          <w:szCs w:val="20"/>
        </w:rPr>
      </w:pPr>
    </w:p>
    <w:p w:rsidR="00922FEB" w:rsidRDefault="00922FEB">
      <w:pPr>
        <w:rPr>
          <w:rFonts w:ascii="Candida-Roman" w:hAnsi="Candida-Roman"/>
          <w:color w:val="1B1C20"/>
          <w:sz w:val="20"/>
          <w:szCs w:val="20"/>
        </w:rPr>
      </w:pPr>
      <w:r>
        <w:rPr>
          <w:rFonts w:ascii="Candida-Roman" w:hAnsi="Candida-Roman"/>
          <w:color w:val="1B1C20"/>
          <w:sz w:val="20"/>
          <w:szCs w:val="20"/>
        </w:rPr>
        <w:t xml:space="preserve">ADB notes: </w:t>
      </w:r>
    </w:p>
    <w:p w:rsidR="00922FEB" w:rsidRPr="00F81D7E" w:rsidRDefault="00922FEB"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cod’s secondary prey in the Barents Sea (</w:t>
      </w:r>
      <w:proofErr w:type="spellStart"/>
      <w:r>
        <w:rPr>
          <w:rFonts w:ascii="Candida-Roman" w:hAnsi="Candida-Roman"/>
          <w:color w:val="1B1C20"/>
          <w:sz w:val="20"/>
          <w:szCs w:val="20"/>
        </w:rPr>
        <w:t>pandalus</w:t>
      </w:r>
      <w:proofErr w:type="spellEnd"/>
      <w:r>
        <w:rPr>
          <w:rFonts w:ascii="Candida-Roman" w:hAnsi="Candida-Roman"/>
          <w:color w:val="1B1C20"/>
          <w:sz w:val="20"/>
          <w:szCs w:val="20"/>
        </w:rPr>
        <w:t xml:space="preserve"> borealis) stock was reduced by more than half when the reduced in weight </w:t>
      </w:r>
      <w:proofErr w:type="spellStart"/>
      <w:r>
        <w:rPr>
          <w:rFonts w:ascii="Candida-Roman" w:hAnsi="Candida-Roman"/>
          <w:color w:val="1B1C20"/>
          <w:sz w:val="20"/>
          <w:szCs w:val="20"/>
        </w:rPr>
        <w:t>aat</w:t>
      </w:r>
      <w:proofErr w:type="spellEnd"/>
      <w:r>
        <w:rPr>
          <w:rFonts w:ascii="Candida-Roman" w:hAnsi="Candida-Roman"/>
          <w:color w:val="1B1C20"/>
          <w:sz w:val="20"/>
          <w:szCs w:val="20"/>
        </w:rPr>
        <w:t xml:space="preserve"> age was observed</w:t>
      </w:r>
    </w:p>
    <w:p w:rsidR="00F81D7E" w:rsidRPr="004A405E" w:rsidRDefault="00F81D7E"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xml:space="preserve">: stock biomass of cod was virtually constant during the capelin collapse, if anything it was highest when capelin was lowest – therefore relative abundance of capelin saw a sharp decrease – as opposed to the case of the NL Shelf </w:t>
      </w:r>
    </w:p>
    <w:p w:rsidR="004A405E" w:rsidRPr="004A405E" w:rsidRDefault="004A405E" w:rsidP="00922FEB">
      <w:pPr>
        <w:pStyle w:val="ListParagraph"/>
        <w:numPr>
          <w:ilvl w:val="0"/>
          <w:numId w:val="1"/>
        </w:numPr>
        <w:rPr>
          <w:rFonts w:ascii="Candida-Bold" w:hAnsi="Candida-Bold"/>
          <w:bCs/>
          <w:color w:val="1B1C20"/>
          <w:sz w:val="20"/>
          <w:szCs w:val="20"/>
        </w:rPr>
      </w:pPr>
      <w:r w:rsidRPr="00922FEB">
        <w:rPr>
          <w:rStyle w:val="fontstyle01"/>
          <w:b w:val="0"/>
        </w:rPr>
        <w:t xml:space="preserve">From </w:t>
      </w:r>
      <w:proofErr w:type="spellStart"/>
      <w:r w:rsidRPr="00922FEB">
        <w:rPr>
          <w:rFonts w:ascii="Candida-Roman" w:hAnsi="Candida-Roman"/>
          <w:color w:val="1B1C20"/>
          <w:sz w:val="20"/>
          <w:szCs w:val="20"/>
        </w:rPr>
        <w:t>Mehl</w:t>
      </w:r>
      <w:proofErr w:type="spellEnd"/>
      <w:r w:rsidRPr="00922FEB">
        <w:rPr>
          <w:rFonts w:ascii="Candida-Roman" w:hAnsi="Candida-Roman"/>
          <w:color w:val="1B1C20"/>
          <w:sz w:val="20"/>
          <w:szCs w:val="20"/>
        </w:rPr>
        <w:t xml:space="preserve"> &amp; </w:t>
      </w:r>
      <w:proofErr w:type="spellStart"/>
      <w:r w:rsidRPr="00922FEB">
        <w:rPr>
          <w:rFonts w:ascii="Candida-Roman" w:hAnsi="Candida-Roman"/>
          <w:color w:val="1B1C20"/>
          <w:sz w:val="20"/>
          <w:szCs w:val="20"/>
        </w:rPr>
        <w:t>Sunnanå</w:t>
      </w:r>
      <w:proofErr w:type="spellEnd"/>
      <w:r w:rsidRPr="00922FEB">
        <w:rPr>
          <w:rFonts w:ascii="Candida-Roman" w:hAnsi="Candida-Roman"/>
          <w:color w:val="1B1C20"/>
          <w:sz w:val="20"/>
          <w:szCs w:val="20"/>
        </w:rPr>
        <w:t xml:space="preserve"> 1991</w:t>
      </w:r>
      <w:r>
        <w:rPr>
          <w:rFonts w:ascii="Candida-Roman" w:hAnsi="Candida-Roman"/>
          <w:color w:val="1B1C20"/>
          <w:sz w:val="20"/>
          <w:szCs w:val="20"/>
        </w:rPr>
        <w:t>, figure 4: weights at age 1-7+. Why did Frank choose to mention ages 4-6?  drop in weight at age did not reach 2 kg</w:t>
      </w:r>
    </w:p>
    <w:p w:rsidR="004A405E" w:rsidRPr="004A405E"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4: about 500g</w:t>
      </w:r>
    </w:p>
    <w:p w:rsidR="004A405E" w:rsidRPr="004A405E"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5: about 1 kg</w:t>
      </w:r>
    </w:p>
    <w:p w:rsidR="004A405E" w:rsidRPr="00922FEB" w:rsidRDefault="004A405E" w:rsidP="004A405E">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Age 6: a bit more than 1 kg (but NOT 2 kg)</w:t>
      </w:r>
    </w:p>
    <w:p w:rsidR="00922FEB" w:rsidRPr="00922FEB" w:rsidRDefault="00922FEB" w:rsidP="00922FEB">
      <w:pPr>
        <w:pStyle w:val="ListParagraph"/>
        <w:numPr>
          <w:ilvl w:val="0"/>
          <w:numId w:val="1"/>
        </w:numPr>
        <w:rPr>
          <w:rFonts w:ascii="Candida-Bold" w:hAnsi="Candida-Bold"/>
          <w:bCs/>
          <w:color w:val="1B1C20"/>
          <w:sz w:val="20"/>
          <w:szCs w:val="20"/>
        </w:rPr>
      </w:pPr>
      <w:r>
        <w:rPr>
          <w:rFonts w:ascii="Candida-Roman" w:hAnsi="Candida-Roman"/>
          <w:color w:val="1B1C20"/>
          <w:sz w:val="20"/>
          <w:szCs w:val="20"/>
        </w:rPr>
        <w:t xml:space="preserve">Magnusson &amp; </w:t>
      </w:r>
      <w:proofErr w:type="spellStart"/>
      <w:r>
        <w:rPr>
          <w:rFonts w:ascii="Candida-Roman" w:hAnsi="Candida-Roman"/>
          <w:color w:val="1B1C20"/>
          <w:sz w:val="20"/>
          <w:szCs w:val="20"/>
        </w:rPr>
        <w:t>Palsson</w:t>
      </w:r>
      <w:proofErr w:type="spellEnd"/>
      <w:r>
        <w:rPr>
          <w:rFonts w:ascii="Candida-Roman" w:hAnsi="Candida-Roman"/>
          <w:color w:val="1B1C20"/>
          <w:sz w:val="20"/>
          <w:szCs w:val="20"/>
        </w:rPr>
        <w:t xml:space="preserve"> (1989): cod in Iceland had</w:t>
      </w:r>
    </w:p>
    <w:p w:rsidR="00922FEB" w:rsidRPr="00922FEB" w:rsidRDefault="00922FEB" w:rsidP="00922FEB">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 xml:space="preserve">Lower stomach contents - YES in </w:t>
      </w:r>
      <w:proofErr w:type="spellStart"/>
      <w:r>
        <w:rPr>
          <w:rFonts w:ascii="Candida-Roman" w:hAnsi="Candida-Roman"/>
          <w:color w:val="1B1C20"/>
          <w:sz w:val="20"/>
          <w:szCs w:val="20"/>
        </w:rPr>
        <w:t>nl</w:t>
      </w:r>
      <w:proofErr w:type="spellEnd"/>
      <w:r>
        <w:rPr>
          <w:rFonts w:ascii="Candida-Roman" w:hAnsi="Candida-Roman"/>
          <w:color w:val="1B1C20"/>
          <w:sz w:val="20"/>
          <w:szCs w:val="20"/>
        </w:rPr>
        <w:t xml:space="preserve"> (Morgan et al 2017)</w:t>
      </w:r>
    </w:p>
    <w:p w:rsidR="00922FEB" w:rsidRPr="00922FEB" w:rsidRDefault="00922FEB" w:rsidP="00922FEB">
      <w:pPr>
        <w:pStyle w:val="ListParagraph"/>
        <w:numPr>
          <w:ilvl w:val="1"/>
          <w:numId w:val="1"/>
        </w:numPr>
        <w:rPr>
          <w:rFonts w:ascii="Candida-Bold" w:hAnsi="Candida-Bold"/>
          <w:bCs/>
          <w:color w:val="1B1C20"/>
          <w:sz w:val="20"/>
          <w:szCs w:val="20"/>
        </w:rPr>
      </w:pPr>
      <w:r>
        <w:rPr>
          <w:rFonts w:ascii="Candida-Roman" w:hAnsi="Candida-Roman"/>
          <w:color w:val="1B1C20"/>
          <w:sz w:val="20"/>
          <w:szCs w:val="20"/>
        </w:rPr>
        <w:t xml:space="preserve">Smaller growth rate - YES in </w:t>
      </w:r>
      <w:proofErr w:type="spellStart"/>
      <w:r>
        <w:rPr>
          <w:rFonts w:ascii="Candida-Roman" w:hAnsi="Candida-Roman"/>
          <w:color w:val="1B1C20"/>
          <w:sz w:val="20"/>
          <w:szCs w:val="20"/>
        </w:rPr>
        <w:t>nl</w:t>
      </w:r>
      <w:proofErr w:type="spellEnd"/>
      <w:r>
        <w:rPr>
          <w:rFonts w:ascii="Candida-Roman" w:hAnsi="Candida-Roman"/>
          <w:color w:val="1B1C20"/>
          <w:sz w:val="20"/>
          <w:szCs w:val="20"/>
        </w:rPr>
        <w:t xml:space="preserve"> (Morgan et al 2017)</w:t>
      </w:r>
    </w:p>
    <w:p w:rsidR="00922FEB" w:rsidRPr="00922FEB" w:rsidRDefault="00922FEB" w:rsidP="00922FEB">
      <w:pPr>
        <w:pStyle w:val="ListParagraph"/>
        <w:numPr>
          <w:ilvl w:val="1"/>
          <w:numId w:val="1"/>
        </w:numPr>
        <w:rPr>
          <w:rFonts w:ascii="Candida-Bold" w:hAnsi="Candida-Bold"/>
          <w:bCs/>
          <w:color w:val="1B1C20"/>
          <w:sz w:val="20"/>
          <w:szCs w:val="20"/>
        </w:rPr>
      </w:pPr>
      <w:r w:rsidRPr="00922FEB">
        <w:rPr>
          <w:rStyle w:val="fontstyle01"/>
          <w:b w:val="0"/>
        </w:rPr>
        <w:t xml:space="preserve">Reduced feeding level - </w:t>
      </w:r>
      <w:r w:rsidRPr="00922FEB">
        <w:rPr>
          <w:rFonts w:ascii="Candida-Roman" w:hAnsi="Candida-Roman"/>
          <w:color w:val="1B1C20"/>
          <w:sz w:val="20"/>
          <w:szCs w:val="20"/>
        </w:rPr>
        <w:t>?  in NL</w:t>
      </w:r>
    </w:p>
    <w:p w:rsidR="00922FEB" w:rsidRDefault="00922FEB" w:rsidP="00922FEB">
      <w:pPr>
        <w:ind w:left="720"/>
        <w:rPr>
          <w:rStyle w:val="fontstyle01"/>
          <w:b w:val="0"/>
        </w:rPr>
      </w:pPr>
      <w:proofErr w:type="gramStart"/>
      <w:r w:rsidRPr="00922FEB">
        <w:rPr>
          <w:rFonts w:ascii="Candida-Roman" w:hAnsi="Candida-Roman"/>
          <w:color w:val="1B1C20"/>
          <w:sz w:val="20"/>
          <w:szCs w:val="20"/>
        </w:rPr>
        <w:t>w</w:t>
      </w:r>
      <w:r w:rsidRPr="00922FEB">
        <w:rPr>
          <w:rStyle w:val="fontstyle01"/>
          <w:b w:val="0"/>
        </w:rPr>
        <w:t>hen</w:t>
      </w:r>
      <w:proofErr w:type="gramEnd"/>
      <w:r w:rsidRPr="00922FEB">
        <w:rPr>
          <w:rStyle w:val="fontstyle01"/>
          <w:b w:val="0"/>
        </w:rPr>
        <w:t xml:space="preserve"> capelin stock declined to low levels</w:t>
      </w:r>
    </w:p>
    <w:p w:rsidR="004A405E" w:rsidRDefault="004A405E" w:rsidP="00922FEB">
      <w:pPr>
        <w:ind w:left="720"/>
        <w:rPr>
          <w:rStyle w:val="fontstyle01"/>
          <w:b w:val="0"/>
        </w:rPr>
      </w:pPr>
    </w:p>
    <w:p w:rsidR="004A405E" w:rsidRPr="00D409EE" w:rsidRDefault="004A405E" w:rsidP="00D409EE">
      <w:pPr>
        <w:pStyle w:val="ListParagraph"/>
        <w:numPr>
          <w:ilvl w:val="0"/>
          <w:numId w:val="1"/>
        </w:numPr>
        <w:rPr>
          <w:rFonts w:ascii="Candida-Roman" w:hAnsi="Candida-Roman"/>
          <w:bCs/>
        </w:rPr>
      </w:pPr>
      <w:r w:rsidRPr="00D409EE">
        <w:rPr>
          <w:rFonts w:ascii="Candida-Roman" w:hAnsi="Candida-Roman"/>
          <w:color w:val="1B1C20"/>
          <w:sz w:val="20"/>
          <w:szCs w:val="20"/>
        </w:rPr>
        <w:t>From Lilly</w:t>
      </w:r>
      <w:r w:rsidR="004E7CB0">
        <w:rPr>
          <w:rFonts w:ascii="Candida-Roman" w:hAnsi="Candida-Roman"/>
          <w:color w:val="1B1C20"/>
          <w:sz w:val="20"/>
          <w:szCs w:val="20"/>
        </w:rPr>
        <w:t xml:space="preserve"> 1987</w:t>
      </w:r>
      <w:r w:rsidRPr="00D409EE">
        <w:rPr>
          <w:rFonts w:ascii="Candida-Roman" w:hAnsi="Candida-Roman"/>
          <w:color w:val="1B1C20"/>
          <w:sz w:val="20"/>
          <w:szCs w:val="20"/>
        </w:rPr>
        <w:t>: Predation by cod on capelin is not as seasonal in Div. 3L as it is to the north. Cod on the northern slopes of Grand Bank feed on capelin in winter (</w:t>
      </w:r>
      <w:proofErr w:type="spellStart"/>
      <w:r w:rsidRPr="00D409EE">
        <w:rPr>
          <w:rFonts w:ascii="Candida-Roman" w:hAnsi="Candida-Roman"/>
          <w:color w:val="1B1C20"/>
          <w:sz w:val="20"/>
          <w:szCs w:val="20"/>
        </w:rPr>
        <w:t>Templeman</w:t>
      </w:r>
      <w:proofErr w:type="spellEnd"/>
      <w:r w:rsidRPr="00D409EE">
        <w:rPr>
          <w:rFonts w:ascii="Candida-Roman" w:hAnsi="Candida-Roman"/>
          <w:color w:val="1B1C20"/>
          <w:sz w:val="20"/>
          <w:szCs w:val="20"/>
        </w:rPr>
        <w:t xml:space="preserve"> 1965;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w:t>
      </w:r>
      <w:proofErr w:type="spellStart"/>
      <w:r w:rsidRPr="00D409EE">
        <w:rPr>
          <w:rFonts w:ascii="Candida-Roman" w:hAnsi="Candida-Roman"/>
          <w:color w:val="1B1C20"/>
          <w:sz w:val="20"/>
          <w:szCs w:val="20"/>
        </w:rPr>
        <w:t>Minet</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Perodou</w:t>
      </w:r>
      <w:proofErr w:type="spellEnd"/>
      <w:r w:rsidRPr="00D409EE">
        <w:rPr>
          <w:rFonts w:ascii="Candida-Roman" w:hAnsi="Candida-Roman"/>
          <w:color w:val="1B1C20"/>
          <w:sz w:val="20"/>
          <w:szCs w:val="20"/>
        </w:rPr>
        <w:t xml:space="preserve"> 1978; Lilly et ale 1984), and partial fullness indices can be very high (Lilly and Fleming 1981). Cod also feed on capelin in various parts of the Avalon Channel and the northern, western, and central Grand Bank in spring and summer (Popova 1962;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w:t>
      </w:r>
      <w:proofErr w:type="spellStart"/>
      <w:r w:rsidRPr="00D409EE">
        <w:rPr>
          <w:rFonts w:ascii="Candida-Roman" w:hAnsi="Candida-Roman"/>
          <w:color w:val="1B1C20"/>
          <w:sz w:val="20"/>
          <w:szCs w:val="20"/>
        </w:rPr>
        <w:t>Kovalyov</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Kudrin</w:t>
      </w:r>
      <w:proofErr w:type="spellEnd"/>
      <w:r w:rsidRPr="00D409EE">
        <w:rPr>
          <w:rFonts w:ascii="Candida-Roman" w:hAnsi="Candida-Roman"/>
          <w:color w:val="1B1C20"/>
          <w:sz w:val="20"/>
          <w:szCs w:val="20"/>
        </w:rPr>
        <w:t xml:space="preserve"> 1973; </w:t>
      </w:r>
      <w:proofErr w:type="spellStart"/>
      <w:r w:rsidRPr="00D409EE">
        <w:rPr>
          <w:rFonts w:ascii="Candida-Roman" w:hAnsi="Candida-Roman"/>
          <w:color w:val="1B1C20"/>
          <w:sz w:val="20"/>
          <w:szCs w:val="20"/>
        </w:rPr>
        <w:t>Stanek</w:t>
      </w:r>
      <w:proofErr w:type="spellEnd"/>
      <w:r w:rsidRPr="00D409EE">
        <w:rPr>
          <w:rFonts w:ascii="Candida-Roman" w:hAnsi="Candida-Roman"/>
          <w:color w:val="1B1C20"/>
          <w:sz w:val="20"/>
          <w:szCs w:val="20"/>
        </w:rPr>
        <w:t xml:space="preserve"> 1975; </w:t>
      </w:r>
      <w:proofErr w:type="spellStart"/>
      <w:r w:rsidRPr="00D409EE">
        <w:rPr>
          <w:rFonts w:ascii="Candida-Roman" w:hAnsi="Candida-Roman"/>
          <w:color w:val="1B1C20"/>
          <w:sz w:val="20"/>
          <w:szCs w:val="20"/>
        </w:rPr>
        <w:t>Minet</w:t>
      </w:r>
      <w:proofErr w:type="spellEnd"/>
      <w:r w:rsidRPr="00D409EE">
        <w:rPr>
          <w:rFonts w:ascii="Candida-Roman" w:hAnsi="Candida-Roman"/>
          <w:color w:val="1B1C20"/>
          <w:sz w:val="20"/>
          <w:szCs w:val="20"/>
        </w:rPr>
        <w:t xml:space="preserve"> and </w:t>
      </w:r>
      <w:proofErr w:type="spellStart"/>
      <w:r w:rsidRPr="00D409EE">
        <w:rPr>
          <w:rFonts w:ascii="Candida-Roman" w:hAnsi="Candida-Roman"/>
          <w:color w:val="1B1C20"/>
          <w:sz w:val="20"/>
          <w:szCs w:val="20"/>
        </w:rPr>
        <w:t>Perodou</w:t>
      </w:r>
      <w:proofErr w:type="spellEnd"/>
      <w:r w:rsidRPr="00D409EE">
        <w:rPr>
          <w:rFonts w:ascii="Candida-Roman" w:hAnsi="Candida-Roman"/>
          <w:color w:val="1B1C20"/>
          <w:sz w:val="20"/>
          <w:szCs w:val="20"/>
        </w:rPr>
        <w:t xml:space="preserve"> 1~78; Lilly and Fleming 1981). Predation on capelin also occurs in autumn (</w:t>
      </w:r>
      <w:proofErr w:type="spellStart"/>
      <w:r w:rsidRPr="00D409EE">
        <w:rPr>
          <w:rFonts w:ascii="Candida-Roman" w:hAnsi="Candida-Roman"/>
          <w:color w:val="1B1C20"/>
          <w:sz w:val="20"/>
          <w:szCs w:val="20"/>
        </w:rPr>
        <w:t>Turuk</w:t>
      </w:r>
      <w:proofErr w:type="spellEnd"/>
      <w:r w:rsidRPr="00D409EE">
        <w:rPr>
          <w:rFonts w:ascii="Candida-Roman" w:hAnsi="Candida-Roman"/>
          <w:color w:val="1B1C20"/>
          <w:sz w:val="20"/>
          <w:szCs w:val="20"/>
        </w:rPr>
        <w:t xml:space="preserve"> 1968), but there has been less study at that season.</w:t>
      </w:r>
    </w:p>
    <w:p w:rsidR="00922FEB" w:rsidRDefault="00922FEB">
      <w:pPr>
        <w:rPr>
          <w:rStyle w:val="fontstyle01"/>
        </w:rPr>
      </w:pPr>
    </w:p>
    <w:p w:rsidR="00922FEB" w:rsidRDefault="00922FEB">
      <w:pPr>
        <w:rPr>
          <w:rStyle w:val="fontstyle01"/>
        </w:rPr>
      </w:pPr>
    </w:p>
    <w:p w:rsidR="00FD17F5" w:rsidRDefault="00FD17F5">
      <w:pPr>
        <w:rPr>
          <w:rStyle w:val="fontstyle01"/>
        </w:rPr>
      </w:pPr>
      <w:r>
        <w:rPr>
          <w:rStyle w:val="fontstyle01"/>
        </w:rPr>
        <w:t>ECOREGIONS</w:t>
      </w:r>
    </w:p>
    <w:p w:rsidR="00FD17F5" w:rsidRDefault="00FD17F5" w:rsidP="00FD17F5">
      <w:r>
        <w:lastRenderedPageBreak/>
        <w:t>Pepin et al 2010</w:t>
      </w:r>
    </w:p>
    <w:p w:rsidR="00FD17F5" w:rsidRPr="00FD17F5" w:rsidRDefault="00FD17F5" w:rsidP="00FD17F5">
      <w:pPr>
        <w:rPr>
          <w:rStyle w:val="fontstyle01"/>
          <w:b w:val="0"/>
        </w:rPr>
      </w:pPr>
      <w:bookmarkStart w:id="0" w:name="_GoBack"/>
      <w:r w:rsidRPr="00FD17F5">
        <w:rPr>
          <w:rStyle w:val="fontstyle01"/>
          <w:b w:val="0"/>
        </w:rPr>
        <w:t>In all runs, the Grand Banks remained its own class separate from the NL shelf and the</w:t>
      </w:r>
      <w:r w:rsidRPr="00FD17F5">
        <w:rPr>
          <w:rFonts w:ascii="TimesNewRomanPSMT" w:hAnsi="TimesNewRomanPSMT"/>
          <w:b/>
          <w:color w:val="000000"/>
          <w:sz w:val="20"/>
          <w:szCs w:val="20"/>
        </w:rPr>
        <w:br/>
      </w:r>
      <w:r w:rsidRPr="00FD17F5">
        <w:rPr>
          <w:rStyle w:val="fontstyle01"/>
          <w:b w:val="0"/>
        </w:rPr>
        <w:t>southeast shoal.</w:t>
      </w:r>
    </w:p>
    <w:bookmarkEnd w:id="0"/>
    <w:p w:rsidR="00FD17F5" w:rsidRDefault="00FD17F5" w:rsidP="00FD17F5">
      <w:pPr>
        <w:rPr>
          <w:rStyle w:val="fontstyle01"/>
        </w:rPr>
      </w:pPr>
    </w:p>
    <w:p w:rsidR="00FD17F5" w:rsidRDefault="00FD17F5" w:rsidP="00FD17F5">
      <w:pPr>
        <w:rPr>
          <w:rStyle w:val="fontstyle01"/>
        </w:rPr>
      </w:pPr>
      <w:r>
        <w:rPr>
          <w:rStyle w:val="fontstyle01"/>
        </w:rPr>
        <w:t>Pepin et al 2012</w:t>
      </w:r>
    </w:p>
    <w:p w:rsidR="00FD17F5" w:rsidRDefault="00FD17F5" w:rsidP="00FD17F5">
      <w:pPr>
        <w:rPr>
          <w:rStyle w:val="fontstyle01"/>
        </w:rPr>
      </w:pPr>
    </w:p>
    <w:p w:rsidR="00FD17F5" w:rsidRDefault="00FD17F5" w:rsidP="00FD17F5">
      <w:pPr>
        <w:rPr>
          <w:rFonts w:ascii="Calibri" w:hAnsi="Calibri"/>
          <w:color w:val="000000"/>
        </w:rPr>
      </w:pPr>
      <w:proofErr w:type="gramStart"/>
      <w:r w:rsidRPr="00505533">
        <w:rPr>
          <w:rFonts w:ascii="Calibri" w:hAnsi="Calibri"/>
          <w:color w:val="000000"/>
        </w:rPr>
        <w:t>link</w:t>
      </w:r>
      <w:proofErr w:type="gramEnd"/>
      <w:r w:rsidRPr="00505533">
        <w:rPr>
          <w:rFonts w:ascii="Calibri" w:hAnsi="Calibri"/>
          <w:color w:val="000000"/>
        </w:rPr>
        <w:t xml:space="preserve"> different features of the ecosystem, both physical and biological,</w:t>
      </w:r>
      <w:r w:rsidRPr="00505533">
        <w:rPr>
          <w:rFonts w:ascii="Calibri" w:hAnsi="Calibri"/>
          <w:color w:val="000000"/>
        </w:rPr>
        <w:br/>
        <w:t>to define areas with similar features</w:t>
      </w:r>
    </w:p>
    <w:p w:rsidR="00FD17F5" w:rsidRDefault="00FD17F5" w:rsidP="00FD17F5">
      <w:pPr>
        <w:rPr>
          <w:rFonts w:ascii="Calibri" w:hAnsi="Calibri"/>
          <w:color w:val="000000"/>
        </w:rPr>
      </w:pPr>
    </w:p>
    <w:p w:rsidR="00FD17F5" w:rsidRDefault="00FD17F5" w:rsidP="00FD17F5">
      <w:pPr>
        <w:rPr>
          <w:rFonts w:ascii="Calibri" w:hAnsi="Calibri"/>
          <w:color w:val="000000"/>
        </w:rPr>
      </w:pPr>
      <w:r w:rsidRPr="00505533">
        <w:rPr>
          <w:rFonts w:ascii="Calibri" w:hAnsi="Calibri"/>
          <w:color w:val="000000"/>
        </w:rPr>
        <w:t>Grand Banks and NL Shelf</w:t>
      </w:r>
      <w:r w:rsidRPr="00505533">
        <w:rPr>
          <w:rFonts w:ascii="Calibri" w:hAnsi="Calibri"/>
          <w:color w:val="000000"/>
        </w:rPr>
        <w:br/>
        <w:t>still appear as distinct</w:t>
      </w:r>
    </w:p>
    <w:p w:rsidR="00FD17F5" w:rsidRDefault="00FD17F5" w:rsidP="00FD17F5">
      <w:pPr>
        <w:rPr>
          <w:rFonts w:ascii="Calibri" w:hAnsi="Calibri"/>
          <w:color w:val="000000"/>
        </w:rPr>
      </w:pPr>
    </w:p>
    <w:p w:rsidR="00FD17F5" w:rsidRDefault="00FD17F5" w:rsidP="00FD17F5">
      <w:pPr>
        <w:rPr>
          <w:rFonts w:ascii="Calibri" w:hAnsi="Calibri"/>
          <w:color w:val="000000"/>
        </w:rPr>
      </w:pPr>
      <w:r>
        <w:rPr>
          <w:rFonts w:ascii="Calibri" w:hAnsi="Calibri"/>
          <w:color w:val="000000"/>
        </w:rPr>
        <w:t>Pepin et al 2014</w:t>
      </w:r>
    </w:p>
    <w:p w:rsidR="00FD17F5" w:rsidRDefault="00FD17F5" w:rsidP="00FD17F5">
      <w:pPr>
        <w:rPr>
          <w:rFonts w:ascii="Calibri" w:hAnsi="Calibri"/>
          <w:color w:val="000000"/>
        </w:rPr>
      </w:pPr>
    </w:p>
    <w:p w:rsidR="00FD17F5" w:rsidRDefault="00FD17F5" w:rsidP="00FD17F5">
      <w:r w:rsidRPr="00505533">
        <w:rPr>
          <w:rFonts w:ascii="Cambria" w:hAnsi="Cambria"/>
          <w:color w:val="000000"/>
          <w:sz w:val="20"/>
          <w:szCs w:val="20"/>
        </w:rPr>
        <w:t>Ecosystem Production Units</w:t>
      </w:r>
      <w:r>
        <w:rPr>
          <w:rFonts w:ascii="Cambria" w:hAnsi="Cambria"/>
          <w:color w:val="000000"/>
          <w:sz w:val="20"/>
          <w:szCs w:val="20"/>
        </w:rPr>
        <w:t xml:space="preserve"> (</w:t>
      </w:r>
      <w:r w:rsidRPr="00505533">
        <w:rPr>
          <w:rFonts w:ascii="Cambria" w:hAnsi="Cambria"/>
          <w:color w:val="000000"/>
          <w:sz w:val="20"/>
          <w:szCs w:val="20"/>
        </w:rPr>
        <w:t xml:space="preserve">contain a reasonably well defined food web/production </w:t>
      </w:r>
      <w:proofErr w:type="gramStart"/>
      <w:r w:rsidRPr="00505533">
        <w:rPr>
          <w:rFonts w:ascii="Cambria" w:hAnsi="Cambria"/>
          <w:color w:val="000000"/>
          <w:sz w:val="20"/>
          <w:szCs w:val="20"/>
        </w:rPr>
        <w:t>system</w:t>
      </w:r>
      <w:r w:rsidRPr="00505533">
        <w:t xml:space="preserve"> </w:t>
      </w:r>
      <w:r>
        <w:t>)</w:t>
      </w:r>
      <w:proofErr w:type="gramEnd"/>
      <w:r>
        <w:rPr>
          <w:rFonts w:ascii="Cambria" w:hAnsi="Cambria"/>
          <w:color w:val="000000"/>
          <w:sz w:val="20"/>
          <w:szCs w:val="20"/>
        </w:rPr>
        <w:t xml:space="preserve"> - </w:t>
      </w:r>
      <w:r w:rsidRPr="00505533">
        <w:rPr>
          <w:rFonts w:ascii="Cambria" w:hAnsi="Cambria"/>
          <w:color w:val="000000"/>
          <w:sz w:val="20"/>
          <w:szCs w:val="20"/>
        </w:rPr>
        <w:t>northeast Newfoundland Shelf</w:t>
      </w:r>
      <w:r w:rsidRPr="00505533">
        <w:rPr>
          <w:rFonts w:ascii="Cambria" w:hAnsi="Cambria"/>
          <w:color w:val="000000"/>
          <w:sz w:val="20"/>
          <w:szCs w:val="20"/>
        </w:rPr>
        <w:br/>
        <w:t>(subareas 2J3K), the Grand Banks (subareas 3LNO)</w:t>
      </w:r>
    </w:p>
    <w:p w:rsidR="00FD17F5" w:rsidRDefault="00FD17F5">
      <w:pPr>
        <w:rPr>
          <w:rStyle w:val="fontstyle01"/>
        </w:rPr>
      </w:pPr>
    </w:p>
    <w:p w:rsidR="00FD17F5" w:rsidRDefault="00FD17F5">
      <w:pPr>
        <w:rPr>
          <w:rStyle w:val="fontstyle01"/>
        </w:rPr>
      </w:pPr>
    </w:p>
    <w:p w:rsidR="00FD17F5" w:rsidRDefault="00FD17F5">
      <w:pPr>
        <w:rPr>
          <w:rStyle w:val="fontstyle01"/>
        </w:rPr>
      </w:pPr>
    </w:p>
    <w:p w:rsidR="00A23BEE" w:rsidRDefault="00A23BEE">
      <w:pPr>
        <w:rPr>
          <w:rStyle w:val="fontstyle01"/>
        </w:rPr>
      </w:pPr>
      <w:r>
        <w:rPr>
          <w:rStyle w:val="fontstyle01"/>
        </w:rPr>
        <w:t>Temporal dynamics of cod weight at age</w:t>
      </w:r>
      <w:r>
        <w:rPr>
          <w:rFonts w:ascii="Candida-Bold" w:hAnsi="Candida-Bold"/>
          <w:b/>
          <w:bCs/>
          <w:color w:val="1B1C20"/>
          <w:sz w:val="20"/>
          <w:szCs w:val="20"/>
        </w:rPr>
        <w:br/>
      </w:r>
      <w:r>
        <w:rPr>
          <w:rStyle w:val="fontstyle01"/>
        </w:rPr>
        <w:t>and condition</w:t>
      </w:r>
    </w:p>
    <w:p w:rsidR="00FE7992" w:rsidRDefault="00A23BEE">
      <w:pPr>
        <w:rPr>
          <w:rStyle w:val="fontstyle21"/>
        </w:rPr>
      </w:pPr>
      <w:r>
        <w:rPr>
          <w:rFonts w:ascii="Candida-Bold" w:hAnsi="Candida-Bold"/>
          <w:b/>
          <w:bCs/>
          <w:color w:val="1B1C20"/>
          <w:sz w:val="20"/>
          <w:szCs w:val="20"/>
        </w:rPr>
        <w:br/>
      </w:r>
      <w:r>
        <w:rPr>
          <w:rStyle w:val="fontstyle21"/>
        </w:rPr>
        <w:t xml:space="preserve">Capelin are a major component of the diet of cod in NL, and the growth and condition of cod have been shown to be sensitive to variation in the abundance of capelin in the ecosystem (Rose &amp; O’Driscoll 2002). Cod weights at age have been assessed annually in Div. 2J3KL from fall research bottom-trawl surveys beginning in 1978 (Fig. 9). We evaluated the coherence of the temporal variation in the 3-5 </w:t>
      </w:r>
      <w:proofErr w:type="spellStart"/>
      <w:r>
        <w:rPr>
          <w:rStyle w:val="fontstyle21"/>
        </w:rPr>
        <w:t>yr</w:t>
      </w:r>
      <w:proofErr w:type="spellEnd"/>
      <w:r>
        <w:rPr>
          <w:rStyle w:val="fontstyle21"/>
        </w:rPr>
        <w:t xml:space="preserve"> old cod weight at age time series through a PCA. The first 2 PCA modes effectively separated Div. 2J and 3K from 3L, captured 46 and 22% of the overall variance, respectively, and featured comparable loadings for all 6 series for Div. 2J and 3K (leading mode) and for all 3 series from Div. 3L (second mode; Figs. </w:t>
      </w:r>
      <w:proofErr w:type="gramStart"/>
      <w:r>
        <w:rPr>
          <w:rStyle w:val="fontstyle21"/>
        </w:rPr>
        <w:t>S3 &amp; S4 in the Supplement).</w:t>
      </w:r>
      <w:proofErr w:type="gramEnd"/>
      <w:r>
        <w:rPr>
          <w:rStyle w:val="fontstyle21"/>
        </w:rPr>
        <w:t xml:space="preserve"> Weight at age of 3-5 </w:t>
      </w:r>
      <w:proofErr w:type="spellStart"/>
      <w:r>
        <w:rPr>
          <w:rStyle w:val="fontstyle21"/>
        </w:rPr>
        <w:t>yr</w:t>
      </w:r>
      <w:proofErr w:type="spellEnd"/>
      <w:r>
        <w:rPr>
          <w:rStyle w:val="fontstyle21"/>
        </w:rPr>
        <w:t xml:space="preserve"> old cod in Div. 2J and 3K declined to minimum values in the early 1990s, about the time of the reported capelin collapse in Div. 3L. Of the 12 time series of weight at age, 5 showed significant (p &lt; 0.05) differences between the pre- and post-1991 periods: the weight at age of Div. 2J 5 </w:t>
      </w:r>
      <w:proofErr w:type="spellStart"/>
      <w:r>
        <w:rPr>
          <w:rStyle w:val="fontstyle21"/>
        </w:rPr>
        <w:t>yr</w:t>
      </w:r>
      <w:proofErr w:type="spellEnd"/>
      <w:r>
        <w:rPr>
          <w:rStyle w:val="fontstyle21"/>
        </w:rPr>
        <w:t xml:space="preserve"> and Div. 3K 4 </w:t>
      </w:r>
      <w:proofErr w:type="spellStart"/>
      <w:r>
        <w:rPr>
          <w:rStyle w:val="fontstyle21"/>
        </w:rPr>
        <w:t>yr</w:t>
      </w:r>
      <w:proofErr w:type="spellEnd"/>
      <w:r>
        <w:rPr>
          <w:rStyle w:val="fontstyle21"/>
        </w:rPr>
        <w:t xml:space="preserve"> old cod declined, whereas the weights of Div. 3L 3-4 </w:t>
      </w:r>
      <w:proofErr w:type="spellStart"/>
      <w:r>
        <w:rPr>
          <w:rStyle w:val="fontstyle21"/>
        </w:rPr>
        <w:t>yr</w:t>
      </w:r>
      <w:proofErr w:type="spellEnd"/>
      <w:r>
        <w:rPr>
          <w:rStyle w:val="fontstyle21"/>
        </w:rPr>
        <w:t xml:space="preserve"> old cod increased (Fig. 9; Table S2 in the Supplement). The increase of weight at age in Div. 3L is inconsistent with the reported capelin collapse. </w:t>
      </w:r>
      <w:proofErr w:type="spellStart"/>
      <w:r>
        <w:rPr>
          <w:rStyle w:val="fontstyle21"/>
        </w:rPr>
        <w:t>Krumsick</w:t>
      </w:r>
      <w:proofErr w:type="spellEnd"/>
      <w:r>
        <w:rPr>
          <w:rStyle w:val="fontstyle21"/>
        </w:rPr>
        <w:t xml:space="preserve"> &amp; Rose (2012) determined the diets of cod collected between March and </w:t>
      </w:r>
      <w:r>
        <w:rPr>
          <w:rStyle w:val="fontstyle21"/>
        </w:rPr>
        <w:lastRenderedPageBreak/>
        <w:t xml:space="preserve">September in 1997-2003, 2008 and 2011 from Div. 2J, 3K, 3L and 3Ps. Over the entire region, capelin was the leading prey item at 31.6% by weight. On average, capelin constituted &lt;7.4% of the cod diet from Div. 2J, but made a progressively larger contribution in Div. 3K (13.5%) and Div. 3L (61.3%). In Div. 3Ps, capelin contributed 33.5% to the total diet. However, we note that cod biomass had reached low values in the early 1990s, which were sustained, and therefore it is possible that capelin availability had not declined relative to the diminished cod </w:t>
      </w:r>
      <w:proofErr w:type="gramStart"/>
      <w:r>
        <w:rPr>
          <w:rStyle w:val="fontstyle21"/>
        </w:rPr>
        <w:t>biomass</w:t>
      </w:r>
      <w:proofErr w:type="gramEnd"/>
      <w:r>
        <w:rPr>
          <w:rStyle w:val="fontstyle21"/>
        </w:rPr>
        <w:t>.</w:t>
      </w:r>
    </w:p>
    <w:p w:rsidR="00A23BEE" w:rsidRDefault="00A23BEE">
      <w:pPr>
        <w:rPr>
          <w:rStyle w:val="fontstyle21"/>
        </w:rPr>
      </w:pPr>
    </w:p>
    <w:p w:rsidR="00A23BEE" w:rsidRDefault="00A23BEE">
      <w:pPr>
        <w:rPr>
          <w:rFonts w:ascii="Candida-Roman" w:hAnsi="Candida-Roman"/>
          <w:color w:val="1B1C20"/>
          <w:sz w:val="20"/>
          <w:szCs w:val="20"/>
        </w:rPr>
      </w:pPr>
      <w:r w:rsidRPr="00A23BEE">
        <w:rPr>
          <w:rFonts w:ascii="Candida-Roman" w:hAnsi="Candida-Roman"/>
          <w:color w:val="1B1C20"/>
          <w:sz w:val="20"/>
          <w:szCs w:val="20"/>
        </w:rPr>
        <w:t>Rose &amp; O’Driscoll (2002) reported a strong positive</w:t>
      </w:r>
      <w:r>
        <w:rPr>
          <w:rFonts w:ascii="Candida-Roman" w:hAnsi="Candida-Roman"/>
          <w:color w:val="1B1C20"/>
          <w:sz w:val="20"/>
          <w:szCs w:val="20"/>
        </w:rPr>
        <w:t xml:space="preserve"> </w:t>
      </w:r>
      <w:r w:rsidRPr="00A23BEE">
        <w:rPr>
          <w:rFonts w:ascii="Candida-Roman" w:hAnsi="Candida-Roman"/>
          <w:color w:val="1B1C20"/>
          <w:sz w:val="20"/>
          <w:szCs w:val="20"/>
        </w:rPr>
        <w:t>relationship (R</w:t>
      </w:r>
      <w:r w:rsidRPr="00A23BEE">
        <w:rPr>
          <w:rFonts w:ascii="Candida-Roman" w:hAnsi="Candida-Roman"/>
          <w:color w:val="1B1C20"/>
          <w:sz w:val="12"/>
          <w:szCs w:val="12"/>
        </w:rPr>
        <w:t xml:space="preserve">2 </w:t>
      </w:r>
      <w:r w:rsidRPr="00A23BEE">
        <w:rPr>
          <w:rFonts w:ascii="Candida-Roman" w:hAnsi="Candida-Roman"/>
          <w:color w:val="1B1C20"/>
          <w:sz w:val="20"/>
          <w:szCs w:val="20"/>
        </w:rPr>
        <w:t>= 0.73) between the ratio of liver to</w:t>
      </w:r>
      <w:r>
        <w:rPr>
          <w:rFonts w:ascii="Candida-Roman" w:hAnsi="Candida-Roman"/>
          <w:color w:val="1B1C20"/>
          <w:sz w:val="20"/>
          <w:szCs w:val="20"/>
        </w:rPr>
        <w:t xml:space="preserve"> </w:t>
      </w:r>
      <w:r w:rsidRPr="00A23BEE">
        <w:rPr>
          <w:rFonts w:ascii="Candida-Roman" w:hAnsi="Candida-Roman"/>
          <w:color w:val="1B1C20"/>
          <w:sz w:val="20"/>
          <w:szCs w:val="20"/>
        </w:rPr>
        <w:t>gutted body weight of 30-65 cm cod and a measure</w:t>
      </w:r>
      <w:r>
        <w:rPr>
          <w:rFonts w:ascii="Candida-Roman" w:hAnsi="Candida-Roman"/>
          <w:color w:val="1B1C20"/>
          <w:sz w:val="20"/>
          <w:szCs w:val="20"/>
        </w:rPr>
        <w:t xml:space="preserve"> </w:t>
      </w:r>
      <w:r w:rsidRPr="00A23BEE">
        <w:rPr>
          <w:rFonts w:ascii="Candida-Roman" w:hAnsi="Candida-Roman"/>
          <w:color w:val="1B1C20"/>
          <w:sz w:val="20"/>
          <w:szCs w:val="20"/>
        </w:rPr>
        <w:t>of the local (within a 40 km radius) availability of</w:t>
      </w:r>
      <w:r>
        <w:rPr>
          <w:rFonts w:ascii="Candida-Roman" w:hAnsi="Candida-Roman"/>
          <w:color w:val="1B1C20"/>
          <w:sz w:val="20"/>
          <w:szCs w:val="20"/>
        </w:rPr>
        <w:t xml:space="preserve"> </w:t>
      </w:r>
      <w:r w:rsidRPr="00A23BEE">
        <w:rPr>
          <w:rFonts w:ascii="Candida-Roman" w:hAnsi="Candida-Roman"/>
          <w:color w:val="1B1C20"/>
          <w:sz w:val="20"/>
          <w:szCs w:val="20"/>
        </w:rPr>
        <w:t>capelin, as assessed by acoustic surveys conducted</w:t>
      </w:r>
      <w:r>
        <w:rPr>
          <w:rFonts w:ascii="Candida-Roman" w:hAnsi="Candida-Roman"/>
          <w:color w:val="1B1C20"/>
          <w:sz w:val="20"/>
          <w:szCs w:val="20"/>
        </w:rPr>
        <w:t xml:space="preserve"> </w:t>
      </w:r>
      <w:r w:rsidRPr="00A23BEE">
        <w:rPr>
          <w:rFonts w:ascii="Candida-Roman" w:hAnsi="Candida-Roman"/>
          <w:color w:val="1B1C20"/>
          <w:sz w:val="20"/>
          <w:szCs w:val="20"/>
        </w:rPr>
        <w:t>during 1996-2001, independent of those run by DFO.</w:t>
      </w:r>
      <w:r>
        <w:rPr>
          <w:rFonts w:ascii="Candida-Roman" w:hAnsi="Candida-Roman"/>
          <w:color w:val="1B1C20"/>
          <w:sz w:val="20"/>
          <w:szCs w:val="20"/>
        </w:rPr>
        <w:t xml:space="preserve"> </w:t>
      </w:r>
      <w:r w:rsidRPr="00A23BEE">
        <w:rPr>
          <w:rFonts w:ascii="Candida-Roman" w:hAnsi="Candida-Roman"/>
          <w:color w:val="1B1C20"/>
          <w:sz w:val="20"/>
          <w:szCs w:val="20"/>
        </w:rPr>
        <w:t xml:space="preserve">We therefore examined temporal trends in the </w:t>
      </w:r>
      <w:proofErr w:type="spellStart"/>
      <w:r w:rsidRPr="00A23BEE">
        <w:rPr>
          <w:rFonts w:ascii="Candida-Roman" w:hAnsi="Candida-Roman"/>
          <w:color w:val="1B1C20"/>
          <w:sz w:val="20"/>
          <w:szCs w:val="20"/>
        </w:rPr>
        <w:t>preand</w:t>
      </w:r>
      <w:proofErr w:type="spellEnd"/>
      <w:r w:rsidRPr="00A23BEE">
        <w:rPr>
          <w:rFonts w:ascii="Candida-Roman" w:hAnsi="Candida-Roman"/>
          <w:color w:val="1B1C20"/>
          <w:sz w:val="20"/>
          <w:szCs w:val="20"/>
        </w:rPr>
        <w:t xml:space="preserve"> post-1991 liver condition index for 37 cm (immature) and 49 cm (mature) cod sampled in annual DFO</w:t>
      </w:r>
      <w:r>
        <w:rPr>
          <w:rFonts w:ascii="Candida-Roman" w:hAnsi="Candida-Roman"/>
          <w:color w:val="1B1C20"/>
          <w:sz w:val="20"/>
          <w:szCs w:val="20"/>
        </w:rPr>
        <w:t xml:space="preserve"> </w:t>
      </w:r>
      <w:r w:rsidRPr="00A23BEE">
        <w:rPr>
          <w:rFonts w:ascii="Candida-Roman" w:hAnsi="Candida-Roman"/>
          <w:color w:val="1B1C20"/>
          <w:sz w:val="20"/>
          <w:szCs w:val="20"/>
        </w:rPr>
        <w:t>research surveys (Taggart et al. 1994). Annual standardized anomalies of the index for 37 and 49 cm cod</w:t>
      </w:r>
      <w:r>
        <w:rPr>
          <w:rFonts w:ascii="Candida-Roman" w:hAnsi="Candida-Roman"/>
          <w:color w:val="1B1C20"/>
          <w:sz w:val="20"/>
          <w:szCs w:val="20"/>
        </w:rPr>
        <w:t xml:space="preserve"> </w:t>
      </w:r>
      <w:r w:rsidRPr="00A23BEE">
        <w:rPr>
          <w:rFonts w:ascii="Candida-Roman" w:hAnsi="Candida-Roman"/>
          <w:color w:val="1B1C20"/>
          <w:sz w:val="20"/>
          <w:szCs w:val="20"/>
        </w:rPr>
        <w:t>in Div. 2J and 49 cm cod in Div. 3K varied coherently,</w:t>
      </w:r>
      <w:r>
        <w:rPr>
          <w:rFonts w:ascii="Candida-Roman" w:hAnsi="Candida-Roman"/>
          <w:color w:val="1B1C20"/>
          <w:sz w:val="20"/>
          <w:szCs w:val="20"/>
        </w:rPr>
        <w:t xml:space="preserve"> </w:t>
      </w:r>
      <w:r w:rsidRPr="00A23BEE">
        <w:rPr>
          <w:rFonts w:ascii="Candida-Roman" w:hAnsi="Candida-Roman"/>
          <w:color w:val="1B1C20"/>
          <w:sz w:val="20"/>
          <w:szCs w:val="20"/>
        </w:rPr>
        <w:t>with peak values in 1986, decreasing to sustained</w:t>
      </w:r>
      <w:r>
        <w:rPr>
          <w:rFonts w:ascii="Candida-Roman" w:hAnsi="Candida-Roman"/>
          <w:color w:val="1B1C20"/>
          <w:sz w:val="20"/>
          <w:szCs w:val="20"/>
        </w:rPr>
        <w:t xml:space="preserve"> </w:t>
      </w:r>
      <w:r w:rsidRPr="00A23BEE">
        <w:rPr>
          <w:rFonts w:ascii="Candida-Roman" w:hAnsi="Candida-Roman"/>
          <w:color w:val="1B1C20"/>
          <w:sz w:val="20"/>
          <w:szCs w:val="20"/>
        </w:rPr>
        <w:t>low values in 1991, the time of the reported capelin</w:t>
      </w:r>
      <w:r>
        <w:rPr>
          <w:rFonts w:ascii="Candida-Roman" w:hAnsi="Candida-Roman"/>
          <w:color w:val="1B1C20"/>
          <w:sz w:val="20"/>
          <w:szCs w:val="20"/>
        </w:rPr>
        <w:t xml:space="preserve"> </w:t>
      </w:r>
      <w:r w:rsidRPr="00A23BEE">
        <w:rPr>
          <w:rFonts w:ascii="Candida-Roman" w:hAnsi="Candida-Roman"/>
          <w:color w:val="1B1C20"/>
          <w:sz w:val="20"/>
          <w:szCs w:val="20"/>
        </w:rPr>
        <w:t xml:space="preserve">collapse (Fig. 10; see also Figs. </w:t>
      </w:r>
      <w:proofErr w:type="gramStart"/>
      <w:r w:rsidRPr="00A23BEE">
        <w:rPr>
          <w:rFonts w:ascii="Candida-Roman" w:hAnsi="Candida-Roman"/>
          <w:color w:val="1B1C20"/>
          <w:sz w:val="20"/>
          <w:szCs w:val="20"/>
        </w:rPr>
        <w:t>S5 &amp; S6 in the Supplement).</w:t>
      </w:r>
      <w:proofErr w:type="gramEnd"/>
      <w:r w:rsidRPr="00A23BEE">
        <w:rPr>
          <w:rFonts w:ascii="Candida-Roman" w:hAnsi="Candida-Roman"/>
          <w:color w:val="1B1C20"/>
          <w:sz w:val="20"/>
          <w:szCs w:val="20"/>
        </w:rPr>
        <w:t xml:space="preserve"> In Div. 3K (37 cm) and 3L, the opposite</w:t>
      </w:r>
      <w:r>
        <w:rPr>
          <w:rFonts w:ascii="Candida-Roman" w:hAnsi="Candida-Roman"/>
          <w:color w:val="1B1C20"/>
          <w:sz w:val="20"/>
          <w:szCs w:val="20"/>
        </w:rPr>
        <w:t xml:space="preserve"> </w:t>
      </w:r>
      <w:r w:rsidRPr="00A23BEE">
        <w:rPr>
          <w:rFonts w:ascii="Candida-Roman" w:hAnsi="Candida-Roman"/>
          <w:color w:val="1B1C20"/>
          <w:sz w:val="20"/>
          <w:szCs w:val="20"/>
        </w:rPr>
        <w:t>occurred. The differences of the pre- and post-1991</w:t>
      </w:r>
      <w:r>
        <w:rPr>
          <w:rFonts w:ascii="Candida-Roman" w:hAnsi="Candida-Roman"/>
          <w:color w:val="1B1C20"/>
          <w:sz w:val="20"/>
          <w:szCs w:val="20"/>
        </w:rPr>
        <w:t xml:space="preserve"> </w:t>
      </w:r>
      <w:r w:rsidRPr="00A23BEE">
        <w:rPr>
          <w:rFonts w:ascii="Candida-Roman" w:hAnsi="Candida-Roman"/>
          <w:color w:val="1B1C20"/>
          <w:sz w:val="20"/>
          <w:szCs w:val="20"/>
        </w:rPr>
        <w:t>liver indexes were significant for all but the Div. 3K</w:t>
      </w:r>
      <w:r>
        <w:rPr>
          <w:rFonts w:ascii="Candida-Roman" w:hAnsi="Candida-Roman"/>
          <w:color w:val="1B1C20"/>
          <w:sz w:val="20"/>
          <w:szCs w:val="20"/>
        </w:rPr>
        <w:t xml:space="preserve"> </w:t>
      </w:r>
      <w:r w:rsidRPr="00A23BEE">
        <w:rPr>
          <w:rFonts w:ascii="Candida-Roman" w:hAnsi="Candida-Roman"/>
          <w:color w:val="1B1C20"/>
          <w:sz w:val="20"/>
          <w:szCs w:val="20"/>
        </w:rPr>
        <w:t>49 cm cod (Table S3 in the Supplement). The index</w:t>
      </w:r>
      <w:r>
        <w:rPr>
          <w:rFonts w:ascii="Candida-Roman" w:hAnsi="Candida-Roman"/>
          <w:color w:val="1B1C20"/>
          <w:sz w:val="20"/>
          <w:szCs w:val="20"/>
        </w:rPr>
        <w:t xml:space="preserve"> </w:t>
      </w:r>
      <w:r w:rsidRPr="00A23BEE">
        <w:rPr>
          <w:rFonts w:ascii="Candida-Roman" w:hAnsi="Candida-Roman"/>
          <w:color w:val="1B1C20"/>
          <w:sz w:val="20"/>
          <w:szCs w:val="20"/>
        </w:rPr>
        <w:t>decreased for both size classes in Div. 2J and</w:t>
      </w:r>
      <w:r>
        <w:rPr>
          <w:rFonts w:ascii="Candida-Roman" w:hAnsi="Candida-Roman"/>
          <w:color w:val="1B1C20"/>
          <w:sz w:val="20"/>
          <w:szCs w:val="20"/>
        </w:rPr>
        <w:t xml:space="preserve"> </w:t>
      </w:r>
      <w:r w:rsidRPr="00A23BEE">
        <w:rPr>
          <w:rFonts w:ascii="Candida-Roman" w:hAnsi="Candida-Roman"/>
          <w:color w:val="1B1C20"/>
          <w:sz w:val="20"/>
          <w:szCs w:val="20"/>
        </w:rPr>
        <w:t>increased for both in Div. 3L as well as for Div. 3K 37</w:t>
      </w:r>
      <w:r>
        <w:rPr>
          <w:rFonts w:ascii="Candida-Roman" w:hAnsi="Candida-Roman"/>
          <w:color w:val="1B1C20"/>
          <w:sz w:val="20"/>
          <w:szCs w:val="20"/>
        </w:rPr>
        <w:t xml:space="preserve"> </w:t>
      </w:r>
      <w:r w:rsidRPr="00A23BEE">
        <w:rPr>
          <w:rFonts w:ascii="Candida-Roman" w:hAnsi="Candida-Roman"/>
          <w:color w:val="1B1C20"/>
          <w:sz w:val="20"/>
          <w:szCs w:val="20"/>
        </w:rPr>
        <w:t>cm cod. The increased condition index in Div. 3L is</w:t>
      </w:r>
      <w:r>
        <w:rPr>
          <w:rFonts w:ascii="Candida-Roman" w:hAnsi="Candida-Roman"/>
          <w:color w:val="1B1C20"/>
          <w:sz w:val="20"/>
          <w:szCs w:val="20"/>
        </w:rPr>
        <w:t xml:space="preserve"> </w:t>
      </w:r>
      <w:r w:rsidRPr="00A23BEE">
        <w:rPr>
          <w:rFonts w:ascii="Candida-Roman" w:hAnsi="Candida-Roman"/>
          <w:color w:val="1B1C20"/>
          <w:sz w:val="20"/>
          <w:szCs w:val="20"/>
        </w:rPr>
        <w:t>inconsistent with the reported capelin collapse there.</w:t>
      </w:r>
      <w:r>
        <w:rPr>
          <w:rFonts w:ascii="Candida-Roman" w:hAnsi="Candida-Roman"/>
          <w:color w:val="1B1C20"/>
          <w:sz w:val="20"/>
          <w:szCs w:val="20"/>
        </w:rPr>
        <w:t xml:space="preserve"> </w:t>
      </w:r>
    </w:p>
    <w:p w:rsidR="00A23BEE" w:rsidRDefault="00A23BEE">
      <w:pPr>
        <w:rPr>
          <w:rFonts w:ascii="Candida-Roman" w:hAnsi="Candida-Roman"/>
          <w:color w:val="1B1C20"/>
          <w:sz w:val="20"/>
          <w:szCs w:val="20"/>
        </w:rPr>
      </w:pPr>
      <w:r w:rsidRPr="00A23BEE">
        <w:rPr>
          <w:rFonts w:ascii="Candida-Roman" w:hAnsi="Candida-Roman"/>
          <w:color w:val="1B1C20"/>
          <w:sz w:val="20"/>
          <w:szCs w:val="20"/>
        </w:rPr>
        <w:t>In summary, both the analysis of cod weight at age</w:t>
      </w:r>
      <w:r>
        <w:rPr>
          <w:rFonts w:ascii="Candida-Roman" w:hAnsi="Candida-Roman"/>
          <w:color w:val="1B1C20"/>
          <w:sz w:val="20"/>
          <w:szCs w:val="20"/>
        </w:rPr>
        <w:t xml:space="preserve"> </w:t>
      </w:r>
      <w:r w:rsidRPr="00A23BEE">
        <w:rPr>
          <w:rFonts w:ascii="Candida-Roman" w:hAnsi="Candida-Roman"/>
          <w:color w:val="1B1C20"/>
          <w:sz w:val="20"/>
          <w:szCs w:val="20"/>
        </w:rPr>
        <w:t>and liver condition indicate that changes occurred in</w:t>
      </w:r>
      <w:r>
        <w:rPr>
          <w:rFonts w:ascii="Candida-Roman" w:hAnsi="Candida-Roman"/>
          <w:color w:val="1B1C20"/>
          <w:sz w:val="20"/>
          <w:szCs w:val="20"/>
        </w:rPr>
        <w:t xml:space="preserve"> </w:t>
      </w:r>
      <w:r w:rsidRPr="00A23BEE">
        <w:rPr>
          <w:rFonts w:ascii="Candida-Roman" w:hAnsi="Candida-Roman"/>
          <w:color w:val="1B1C20"/>
          <w:sz w:val="20"/>
          <w:szCs w:val="20"/>
        </w:rPr>
        <w:t>the cod-capelin trophic dynamics in the early 1990s,</w:t>
      </w:r>
      <w:r>
        <w:rPr>
          <w:rFonts w:ascii="Candida-Roman" w:hAnsi="Candida-Roman"/>
          <w:color w:val="1B1C20"/>
          <w:sz w:val="20"/>
          <w:szCs w:val="20"/>
        </w:rPr>
        <w:t xml:space="preserve"> </w:t>
      </w:r>
      <w:r w:rsidRPr="00A23BEE">
        <w:rPr>
          <w:rFonts w:ascii="Candida-Roman" w:hAnsi="Candida-Roman"/>
          <w:color w:val="1B1C20"/>
          <w:sz w:val="20"/>
          <w:szCs w:val="20"/>
        </w:rPr>
        <w:t>particularly in Div. 2J, that were roughly coherent</w:t>
      </w:r>
      <w:r>
        <w:rPr>
          <w:rFonts w:ascii="Candida-Roman" w:hAnsi="Candida-Roman"/>
          <w:color w:val="1B1C20"/>
          <w:sz w:val="20"/>
          <w:szCs w:val="20"/>
        </w:rPr>
        <w:t xml:space="preserve"> </w:t>
      </w:r>
      <w:r w:rsidRPr="00A23BEE">
        <w:rPr>
          <w:rFonts w:ascii="Candida-Roman" w:hAnsi="Candida-Roman"/>
          <w:color w:val="1B1C20"/>
          <w:sz w:val="20"/>
          <w:szCs w:val="20"/>
        </w:rPr>
        <w:t>with the dramatic decline in biomass estimates from</w:t>
      </w:r>
      <w:r>
        <w:rPr>
          <w:rFonts w:ascii="Candida-Roman" w:hAnsi="Candida-Roman"/>
          <w:color w:val="1B1C20"/>
          <w:sz w:val="20"/>
          <w:szCs w:val="20"/>
        </w:rPr>
        <w:t xml:space="preserve"> </w:t>
      </w:r>
      <w:r w:rsidRPr="00A23BEE">
        <w:rPr>
          <w:rFonts w:ascii="Candida-Roman" w:hAnsi="Candida-Roman"/>
          <w:color w:val="1B1C20"/>
          <w:sz w:val="20"/>
          <w:szCs w:val="20"/>
        </w:rPr>
        <w:t>the Div. 3L capelin acoustic surveys. However, this</w:t>
      </w:r>
      <w:r>
        <w:rPr>
          <w:rFonts w:ascii="Candida-Roman" w:hAnsi="Candida-Roman"/>
          <w:color w:val="1B1C20"/>
          <w:sz w:val="20"/>
          <w:szCs w:val="20"/>
        </w:rPr>
        <w:t xml:space="preserve"> </w:t>
      </w:r>
      <w:r w:rsidRPr="00A23BEE">
        <w:rPr>
          <w:rFonts w:ascii="Candida-Roman" w:hAnsi="Candida-Roman"/>
          <w:color w:val="1B1C20"/>
          <w:sz w:val="20"/>
          <w:szCs w:val="20"/>
        </w:rPr>
        <w:t>was not the case in the southern part of the region</w:t>
      </w:r>
      <w:r>
        <w:rPr>
          <w:rFonts w:ascii="Candida-Roman" w:hAnsi="Candida-Roman"/>
          <w:color w:val="1B1C20"/>
          <w:sz w:val="20"/>
          <w:szCs w:val="20"/>
        </w:rPr>
        <w:t xml:space="preserve"> </w:t>
      </w:r>
      <w:r w:rsidRPr="00A23BEE">
        <w:rPr>
          <w:rFonts w:ascii="Candida-Roman" w:hAnsi="Candida-Roman"/>
          <w:color w:val="1B1C20"/>
          <w:sz w:val="20"/>
          <w:szCs w:val="20"/>
        </w:rPr>
        <w:t>(Div. 3L), and mixed results were obtained in Div. 3K.</w:t>
      </w:r>
    </w:p>
    <w:p w:rsidR="007A71A0" w:rsidRDefault="007A71A0">
      <w:pPr>
        <w:rPr>
          <w:rFonts w:ascii="Candida-Roman" w:hAnsi="Candida-Roman"/>
          <w:color w:val="1B1C20"/>
          <w:sz w:val="20"/>
          <w:szCs w:val="20"/>
        </w:rPr>
      </w:pPr>
    </w:p>
    <w:p w:rsidR="007A71A0" w:rsidRDefault="00284FC9">
      <w:pPr>
        <w:rPr>
          <w:rFonts w:ascii="Candida-Roman" w:hAnsi="Candida-Roman"/>
          <w:color w:val="1B1C20"/>
          <w:sz w:val="20"/>
          <w:szCs w:val="20"/>
        </w:rPr>
      </w:pPr>
      <w:r>
        <w:rPr>
          <w:noProof/>
          <w:lang w:eastAsia="en-CA"/>
        </w:rPr>
        <w:lastRenderedPageBreak/>
        <w:drawing>
          <wp:inline distT="0" distB="0" distL="0" distR="0" wp14:anchorId="4F0C9B4D" wp14:editId="31AEB642">
            <wp:extent cx="3285067" cy="6744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82891" cy="6739977"/>
                    </a:xfrm>
                    <a:prstGeom prst="rect">
                      <a:avLst/>
                    </a:prstGeom>
                  </pic:spPr>
                </pic:pic>
              </a:graphicData>
            </a:graphic>
          </wp:inline>
        </w:drawing>
      </w:r>
    </w:p>
    <w:p w:rsidR="007A71A0" w:rsidRDefault="00284FC9">
      <w:pPr>
        <w:rPr>
          <w:lang w:val="en-US"/>
        </w:rPr>
      </w:pPr>
      <w:r>
        <w:rPr>
          <w:noProof/>
          <w:lang w:eastAsia="en-CA"/>
        </w:rPr>
        <w:lastRenderedPageBreak/>
        <w:drawing>
          <wp:inline distT="0" distB="0" distL="0" distR="0" wp14:anchorId="5621A25C" wp14:editId="3BD2BB2F">
            <wp:extent cx="3901440" cy="2758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1440" cy="2758440"/>
                    </a:xfrm>
                    <a:prstGeom prst="rect">
                      <a:avLst/>
                    </a:prstGeom>
                  </pic:spPr>
                </pic:pic>
              </a:graphicData>
            </a:graphic>
          </wp:inline>
        </w:drawing>
      </w:r>
    </w:p>
    <w:p w:rsidR="00284FC9" w:rsidRDefault="00284FC9">
      <w:pPr>
        <w:rPr>
          <w:lang w:val="en-US"/>
        </w:rPr>
      </w:pPr>
      <w:r>
        <w:rPr>
          <w:noProof/>
          <w:lang w:eastAsia="en-CA"/>
        </w:rPr>
        <w:drawing>
          <wp:inline distT="0" distB="0" distL="0" distR="0" wp14:anchorId="27CE9F66" wp14:editId="3CC5E0F3">
            <wp:extent cx="326136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1360" cy="2247900"/>
                    </a:xfrm>
                    <a:prstGeom prst="rect">
                      <a:avLst/>
                    </a:prstGeom>
                  </pic:spPr>
                </pic:pic>
              </a:graphicData>
            </a:graphic>
          </wp:inline>
        </w:drawing>
      </w:r>
    </w:p>
    <w:p w:rsidR="00284FC9" w:rsidRDefault="00284FC9">
      <w:pPr>
        <w:rPr>
          <w:lang w:val="en-US"/>
        </w:rPr>
      </w:pPr>
      <w:r>
        <w:rPr>
          <w:noProof/>
          <w:lang w:eastAsia="en-CA"/>
        </w:rPr>
        <w:drawing>
          <wp:inline distT="0" distB="0" distL="0" distR="0" wp14:anchorId="3A785A68" wp14:editId="36310CDE">
            <wp:extent cx="4884420" cy="1112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4420" cy="1112520"/>
                    </a:xfrm>
                    <a:prstGeom prst="rect">
                      <a:avLst/>
                    </a:prstGeom>
                  </pic:spPr>
                </pic:pic>
              </a:graphicData>
            </a:graphic>
          </wp:inline>
        </w:drawing>
      </w:r>
    </w:p>
    <w:p w:rsidR="00967EFC" w:rsidRDefault="00967EFC">
      <w:pPr>
        <w:rPr>
          <w:lang w:val="en-US"/>
        </w:rPr>
      </w:pPr>
    </w:p>
    <w:p w:rsidR="00967EFC" w:rsidRDefault="00967EFC">
      <w:pPr>
        <w:rPr>
          <w:lang w:val="en-US"/>
        </w:rPr>
      </w:pPr>
      <w:r>
        <w:rPr>
          <w:noProof/>
          <w:lang w:eastAsia="en-CA"/>
        </w:rPr>
        <w:lastRenderedPageBreak/>
        <w:drawing>
          <wp:inline distT="0" distB="0" distL="0" distR="0" wp14:anchorId="4229F174" wp14:editId="5E20BDBD">
            <wp:extent cx="3327400" cy="70742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0511" cy="7080833"/>
                    </a:xfrm>
                    <a:prstGeom prst="rect">
                      <a:avLst/>
                    </a:prstGeom>
                  </pic:spPr>
                </pic:pic>
              </a:graphicData>
            </a:graphic>
          </wp:inline>
        </w:drawing>
      </w:r>
    </w:p>
    <w:p w:rsidR="00284FC9" w:rsidRDefault="00284FC9">
      <w:pPr>
        <w:rPr>
          <w:lang w:val="en-US"/>
        </w:rPr>
      </w:pPr>
      <w:r>
        <w:rPr>
          <w:noProof/>
          <w:lang w:eastAsia="en-CA"/>
        </w:rPr>
        <w:lastRenderedPageBreak/>
        <w:drawing>
          <wp:inline distT="0" distB="0" distL="0" distR="0" wp14:anchorId="624EB14B" wp14:editId="601795FD">
            <wp:extent cx="5006340" cy="1706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6340" cy="1706880"/>
                    </a:xfrm>
                    <a:prstGeom prst="rect">
                      <a:avLst/>
                    </a:prstGeom>
                  </pic:spPr>
                </pic:pic>
              </a:graphicData>
            </a:graphic>
          </wp:inline>
        </w:drawing>
      </w:r>
    </w:p>
    <w:p w:rsidR="00284FC9" w:rsidRPr="00FE7992" w:rsidRDefault="00284FC9">
      <w:pPr>
        <w:rPr>
          <w:lang w:val="en-US"/>
        </w:rPr>
      </w:pPr>
      <w:r>
        <w:rPr>
          <w:noProof/>
          <w:lang w:eastAsia="en-CA"/>
        </w:rPr>
        <w:drawing>
          <wp:inline distT="0" distB="0" distL="0" distR="0" wp14:anchorId="6E8CB359" wp14:editId="13F9BAD5">
            <wp:extent cx="4290060" cy="5692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0060" cy="5692140"/>
                    </a:xfrm>
                    <a:prstGeom prst="rect">
                      <a:avLst/>
                    </a:prstGeom>
                  </pic:spPr>
                </pic:pic>
              </a:graphicData>
            </a:graphic>
          </wp:inline>
        </w:drawing>
      </w:r>
    </w:p>
    <w:sectPr w:rsidR="00284FC9" w:rsidRPr="00FE7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ida-Rom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id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6E68"/>
    <w:multiLevelType w:val="hybridMultilevel"/>
    <w:tmpl w:val="DAE62D3A"/>
    <w:lvl w:ilvl="0" w:tplc="4E546194">
      <w:start w:val="1"/>
      <w:numFmt w:val="decimal"/>
      <w:lvlText w:val="%1."/>
      <w:lvlJc w:val="left"/>
      <w:pPr>
        <w:ind w:left="720" w:hanging="360"/>
      </w:pPr>
      <w:rPr>
        <w:rFonts w:ascii="Candida-Roman" w:hAnsi="Candida-Roman"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92"/>
    <w:rsid w:val="00284FC9"/>
    <w:rsid w:val="004A405E"/>
    <w:rsid w:val="004E7CB0"/>
    <w:rsid w:val="00774478"/>
    <w:rsid w:val="007A71A0"/>
    <w:rsid w:val="00922FEB"/>
    <w:rsid w:val="00967EFC"/>
    <w:rsid w:val="00A23BEE"/>
    <w:rsid w:val="00D409EE"/>
    <w:rsid w:val="00F81D7E"/>
    <w:rsid w:val="00FD17F5"/>
    <w:rsid w:val="00FE7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6</cp:revision>
  <cp:lastPrinted>2018-02-01T17:03:00Z</cp:lastPrinted>
  <dcterms:created xsi:type="dcterms:W3CDTF">2018-01-18T15:47:00Z</dcterms:created>
  <dcterms:modified xsi:type="dcterms:W3CDTF">2018-02-01T20:17:00Z</dcterms:modified>
</cp:coreProperties>
</file>