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C13" w:rsidRDefault="00117823" w:rsidP="00117823">
      <w:pPr>
        <w:pStyle w:val="Heading3"/>
      </w:pPr>
      <w:r>
        <w:t>Seabird population trends</w:t>
      </w:r>
    </w:p>
    <w:p w:rsidR="00117823" w:rsidRPr="00117823" w:rsidRDefault="00117823" w:rsidP="00117823"/>
    <w:bookmarkStart w:id="0" w:name="_GoBack"/>
    <w:p w:rsidR="00117823" w:rsidRPr="00117823" w:rsidRDefault="008D61EA" w:rsidP="00117823">
      <w:pPr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 w:rsidRPr="008D61E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 AuthorYear="1"&gt;&lt;Author&gt;Frank&lt;/Author&gt;&lt;Year&gt;2016&lt;/Year&gt;&lt;RecNum&gt;890&lt;/RecNum&gt;&lt;Suffix&gt;`; Figure 11B&lt;/Suffix&gt;&lt;DisplayText&gt;Frank et al. (2016; Figure 11B)&lt;/DisplayText&gt;&lt;record&gt;&lt;rec-number&gt;890&lt;/rec-number&gt;&lt;foreign-keys&gt;&lt;key app="EN" db-id="2pv5prxr6xz2a4ea50h5dww0ewvx0ttdtdsa" timestamp="1516286327"&gt;890&lt;/key&gt;&lt;/foreign-keys&gt;&lt;ref-type name="Journal Article"&gt;17&lt;/ref-type&gt;&lt;contributors&gt;&lt;authors&gt;&lt;author&gt;Frank, K. T.&lt;/author&gt;&lt;author&gt;Petrie, B.&lt;/author&gt;&lt;author&gt;Boyce, D.&lt;/author&gt;&lt;author&gt;Leggett, W. C.&lt;/author&gt;&lt;/authors&gt;&lt;/contributors&gt;&lt;titles&gt;&lt;title&gt;Anomalous ecosystem dynamics following the apparent collapse of a keystone forage species&lt;/title&gt;&lt;secondary-title&gt;Marine Ecology Progress Series&lt;/secondary-title&gt;&lt;/titles&gt;&lt;periodical&gt;&lt;full-title&gt;Marine Ecology Progress Series&lt;/full-title&gt;&lt;/periodical&gt;&lt;pages&gt;185-202&lt;/pages&gt;&lt;volume&gt;553&lt;/volume&gt;&lt;dates&gt;&lt;year&gt;2016&lt;/year&gt;&lt;/dates&gt;&lt;urls&gt;&lt;related-urls&gt;&lt;url&gt;http://www.int-res.com/abstracts/meps/v553/p185-202/&lt;/url&gt;&lt;/related-urls&gt;&lt;/urls&gt;&lt;/record&gt;&lt;/Cite&gt;&lt;/EndNote&gt;</w:instrTex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 w:rsidRPr="008D61E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Frank et al. 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(2016; Figure 11B)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consider the population of common murres </w:t>
      </w:r>
      <w:r w:rsidR="00117823" w:rsidRPr="008D61EA">
        <w:rPr>
          <w:rFonts w:ascii="Times New Roman" w:eastAsia="Times New Roman" w:hAnsi="Times New Roman" w:cs="Times New Roman"/>
          <w:i/>
          <w:noProof/>
          <w:color w:val="151518"/>
          <w:sz w:val="24"/>
          <w:szCs w:val="24"/>
        </w:rPr>
        <w:t>Uria aalge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on Funk Island </w:t>
      </w:r>
      <w:r w:rsidR="00776C50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(NAFO Div. 3K) 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since 1990 is contrary to expectation given the purported order of magnitude decrease in their primary prey 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&lt;EndNote&gt;&lt;Cite&gt;&lt;Author&gt;Davoren&lt;/Author&gt;&lt;Year&gt;2003&lt;/Year&gt;&lt;RecNum&gt;143&lt;/RecNum&gt;&lt;DisplayText&gt;(Montevecchi 2000, Davoren &amp;amp; Montevecchi 2003)&lt;/DisplayText&gt;&lt;record&gt;&lt;rec-number&gt;143&lt;/rec-number&gt;&lt;foreign-keys&gt;&lt;key app="EN" db-id="2pv5prxr6xz2a4ea50h5dww0ewvx0ttdtdsa" timestamp="1449717149"&gt;143&lt;/key&gt;&lt;/foreign-keys&gt;&lt;ref-type name="Journal Article"&gt;17&lt;/ref-type&gt;&lt;contributors&gt;&lt;authors&gt;&lt;author&gt;Davoren, Gail K.&lt;/author&gt;&lt;author&gt;Montevecchi, William A.&lt;/author&gt;&lt;/authors&gt;&lt;/contributors&gt;&lt;titles&gt;&lt;title&gt;Signals from seabirds indicate changing biology of capelin stocks&lt;/title&gt;&lt;secondary-title&gt;Marine Ecology Progress Series&lt;/secondary-title&gt;&lt;/titles&gt;&lt;periodical&gt;&lt;full-title&gt;Marine Ecology Progress Series&lt;/full-title&gt;&lt;/periodical&gt;&lt;pages&gt;253-261&lt;/pages&gt;&lt;volume&gt;258&lt;/volume&gt;&lt;reprint-edition&gt;Not in File&lt;/reprint-edition&gt;&lt;dates&gt;&lt;year&gt;2003&lt;/year&gt;&lt;pub-dates&gt;&lt;date&gt;2003&lt;/date&gt;&lt;/pub-dates&gt;&lt;/dates&gt;&lt;label&gt;151&lt;/label&gt;&lt;urls&gt;&lt;/urls&gt;&lt;/record&gt;&lt;/Cite&gt;&lt;Cite&gt;&lt;Author&gt;Montevecchi&lt;/Author&gt;&lt;Year&gt;2000&lt;/Year&gt;&lt;RecNum&gt;160&lt;/RecNum&gt;&lt;record&gt;&lt;rec-number&gt;160&lt;/rec-number&gt;&lt;foreign-keys&gt;&lt;key app="EN" db-id="2pv5prxr6xz2a4ea50h5dww0ewvx0ttdtdsa" timestamp="1449717149"&gt;160&lt;/key&gt;&lt;/foreign-keys&gt;&lt;ref-type name="Book Section"&gt;5&lt;/ref-type&gt;&lt;contributors&gt;&lt;authors&gt;&lt;author&gt;Montevecchi, William A.&lt;/author&gt;&lt;/authors&gt;&lt;secondary-authors&gt;&lt;author&gt;Bundy, Alida&lt;/author&gt;&lt;author&gt;Lilly, George R.&lt;/author&gt;&lt;author&gt;Shelton, Peter A.&lt;/author&gt;&lt;/secondary-authors&gt;&lt;/contributors&gt;&lt;titles&gt;&lt;title&gt;Seabirds&lt;/title&gt;&lt;secondary-title&gt;A Mass Balance Model of the Newfoundland-Labrador Shelf&lt;/secondary-title&gt;&lt;/titles&gt;&lt;pages&gt;15-18&lt;/pages&gt;&lt;edition&gt;2310&lt;/edition&gt;&lt;reprint-edition&gt;On Request (12/2/2010)&lt;/reprint-edition&gt;&lt;dates&gt;&lt;year&gt;2000&lt;/year&gt;&lt;pub-dates&gt;&lt;date&gt;2000&lt;/date&gt;&lt;/pub-dates&gt;&lt;/dates&gt;&lt;label&gt;168&lt;/label&gt;&lt;urls&gt;&lt;/urls&gt;&lt;/record&gt;&lt;/Cite&gt;&lt;/EndNote&gt;</w:instrTex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(Montevecchi 2000, Davoren &amp; Montevecchi 2003)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.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In doing so, </w:t>
      </w:r>
      <w:r w:rsidRPr="00AB7D1B">
        <w:rPr>
          <w:rFonts w:ascii="Times New Roman" w:hAnsi="Times New Roman" w:cs="Times New Roman"/>
          <w:color w:val="1B1C20"/>
          <w:sz w:val="24"/>
          <w:szCs w:val="24"/>
        </w:rPr>
        <w:fldChar w:fldCharType="begin"/>
      </w:r>
      <w:r w:rsidRPr="00AB7D1B">
        <w:rPr>
          <w:rFonts w:ascii="Times New Roman" w:hAnsi="Times New Roman" w:cs="Times New Roman"/>
          <w:color w:val="1B1C20"/>
          <w:sz w:val="24"/>
          <w:szCs w:val="24"/>
        </w:rPr>
        <w:instrText xml:space="preserve"> ADDIN EN.CITE &lt;EndNote&gt;&lt;Cite AuthorYear="1"&gt;&lt;Author&gt;Frank&lt;/Author&gt;&lt;Year&gt;2016&lt;/Year&gt;&lt;RecNum&gt;890&lt;/RecNum&gt;&lt;DisplayText&gt;Frank et al. (2016)&lt;/DisplayText&gt;&lt;record&gt;&lt;rec-number&gt;890&lt;/rec-number&gt;&lt;foreign-keys&gt;&lt;key app="EN" db-id="2pv5prxr6xz2a4ea50h5dww0ewvx0ttdtdsa" timestamp="1516286327"&gt;890&lt;/key&gt;&lt;/foreign-keys&gt;&lt;ref-type name="Journal Article"&gt;17&lt;/ref-type&gt;&lt;contributors&gt;&lt;authors&gt;&lt;author&gt;Frank, K. T.&lt;/author&gt;&lt;author&gt;Petrie, B.&lt;/author&gt;&lt;author&gt;Boyce, D.&lt;/author&gt;&lt;author&gt;Leggett, W. C.&lt;/author&gt;&lt;/authors&gt;&lt;/contributors&gt;&lt;titles&gt;&lt;title&gt;Anomalous ecosystem dynamics following the apparent collapse of a keystone forage species&lt;/title&gt;&lt;secondary-title&gt;Marine Ecology Progress Series&lt;/secondary-title&gt;&lt;/titles&gt;&lt;periodical&gt;&lt;full-title&gt;Marine Ecology Progress Series&lt;/full-title&gt;&lt;/periodical&gt;&lt;pages&gt;185-202&lt;/pages&gt;&lt;volume&gt;553&lt;/volume&gt;&lt;dates&gt;&lt;year&gt;2016&lt;/year&gt;&lt;/dates&gt;&lt;urls&gt;&lt;related-urls&gt;&lt;url&gt;http://www.int-res.com/abstracts/meps/v553/p185-202/&lt;/url&gt;&lt;/related-urls&gt;&lt;/urls&gt;&lt;/record&gt;&lt;/Cite&gt;&lt;/EndNote&gt;</w:instrText>
      </w:r>
      <w:r w:rsidRPr="00AB7D1B">
        <w:rPr>
          <w:rFonts w:ascii="Times New Roman" w:hAnsi="Times New Roman" w:cs="Times New Roman"/>
          <w:color w:val="1B1C20"/>
          <w:sz w:val="24"/>
          <w:szCs w:val="24"/>
        </w:rPr>
        <w:fldChar w:fldCharType="separate"/>
      </w:r>
      <w:r w:rsidRPr="00AB7D1B">
        <w:rPr>
          <w:rFonts w:ascii="Times New Roman" w:hAnsi="Times New Roman" w:cs="Times New Roman"/>
          <w:noProof/>
          <w:color w:val="1B1C20"/>
          <w:sz w:val="24"/>
          <w:szCs w:val="24"/>
        </w:rPr>
        <w:t>Frank et al. (2016)</w:t>
      </w:r>
      <w:r w:rsidRPr="00AB7D1B">
        <w:rPr>
          <w:rFonts w:ascii="Times New Roman" w:hAnsi="Times New Roman" w:cs="Times New Roman"/>
          <w:color w:val="1B1C20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misinterpreted the murre abundance graph from Figure 3 in </w:t>
      </w:r>
      <w:r w:rsidR="0023122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 w:rsidR="0023122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 AuthorYear="1"&gt;&lt;Author&gt;Davoren&lt;/Author&gt;&lt;Year&gt;2003&lt;/Year&gt;&lt;RecNum&gt;143&lt;/RecNum&gt;&lt;DisplayText&gt;Davoren and Montevecchi (2003)&lt;/DisplayText&gt;&lt;record&gt;&lt;rec-number&gt;143&lt;/rec-number&gt;&lt;foreign-keys&gt;&lt;key app="EN" db-id="2pv5prxr6xz2a4ea50h5dww0ewvx0ttdtdsa" timestamp="1449717149"&gt;143&lt;/key&gt;&lt;/foreign-keys&gt;&lt;ref-type name="Journal Article"&gt;17&lt;/ref-type&gt;&lt;contributors&gt;&lt;authors&gt;&lt;author&gt;Davoren, Gail K.&lt;/author&gt;&lt;author&gt;Montevecchi, William A.&lt;/author&gt;&lt;/authors&gt;&lt;/contributors&gt;&lt;titles&gt;&lt;title&gt;Signals from seabirds indicate changing biology of capelin stocks&lt;/title&gt;&lt;secondary-title&gt;Marine Ecology Progress Series&lt;/secondary-title&gt;&lt;/titles&gt;&lt;periodical&gt;&lt;full-title&gt;Marine Ecology Progress Series&lt;/full-title&gt;&lt;/periodical&gt;&lt;pages&gt;253-261&lt;/pages&gt;&lt;volume&gt;258&lt;/volume&gt;&lt;reprint-edition&gt;Not in File&lt;/reprint-edition&gt;&lt;dates&gt;&lt;year&gt;2003&lt;/year&gt;&lt;pub-dates&gt;&lt;date&gt;2003&lt;/date&gt;&lt;/pub-dates&gt;&lt;/dates&gt;&lt;label&gt;151&lt;/label&gt;&lt;urls&gt;&lt;/urls&gt;&lt;/record&gt;&lt;/Cite&gt;&lt;/EndNote&gt;</w:instrText>
      </w:r>
      <w:r w:rsidR="0023122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 w:rsidR="0023122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Davoren and Montevecchi (2003)</w:t>
      </w:r>
      <w:r w:rsidR="0023122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as an indication of population increase on Funk Island (mislabeled as Fogo Island in Figure 1 of </w:t>
      </w:r>
      <w:r w:rsidR="00563B6A">
        <w:rPr>
          <w:rFonts w:ascii="Times New Roman" w:hAnsi="Times New Roman" w:cs="Times New Roman"/>
          <w:color w:val="1B1C20"/>
          <w:sz w:val="24"/>
          <w:szCs w:val="24"/>
        </w:rPr>
        <w:t>Frank et al. 2016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)</w:t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. 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Figure 3 in</w:t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 AuthorYear="1"&gt;&lt;Author&gt;Davoren&lt;/Author&gt;&lt;Year&gt;2003&lt;/Year&gt;&lt;RecNum&gt;143&lt;/RecNum&gt;&lt;DisplayText&gt;Davoren and Montevecchi (2003)&lt;/DisplayText&gt;&lt;record&gt;&lt;rec-number&gt;143&lt;/rec-number&gt;&lt;foreign-keys&gt;&lt;key app="EN" db-id="2pv5prxr6xz2a4ea50h5dww0ewvx0ttdtdsa" timestamp="1449717149"&gt;143&lt;/key&gt;&lt;/foreign-keys&gt;&lt;ref-type name="Journal Article"&gt;17&lt;/ref-type&gt;&lt;contributors&gt;&lt;authors&gt;&lt;author&gt;Davoren, Gail K.&lt;/author&gt;&lt;author&gt;Montevecchi, William A.&lt;/author&gt;&lt;/authors&gt;&lt;/contributors&gt;&lt;titles&gt;&lt;title&gt;Signals from seabirds indicate changing biology of capelin stocks&lt;/title&gt;&lt;secondary-title&gt;Marine Ecology Progress Series&lt;/secondary-title&gt;&lt;/titles&gt;&lt;periodical&gt;&lt;full-title&gt;Marine Ecology Progress Series&lt;/full-title&gt;&lt;/periodical&gt;&lt;pages&gt;253-261&lt;/pages&gt;&lt;volume&gt;258&lt;/volume&gt;&lt;reprint-edition&gt;Not in File&lt;/reprint-edition&gt;&lt;dates&gt;&lt;year&gt;2003&lt;/year&gt;&lt;pub-dates&gt;&lt;date&gt;2003&lt;/date&gt;&lt;/pub-dates&gt;&lt;/dates&gt;&lt;label&gt;151&lt;/label&gt;&lt;urls&gt;&lt;/urls&gt;&lt;/record&gt;&lt;/Cite&gt;&lt;/EndNote&gt;</w:instrText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Davoren and Montevecchi (2003)</w:t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depicts the numbers of breeding murres present during August and documents a temporal shift toward later breeding in the late 1990s.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This shift in breeding corresponds with the later inshore arrivals of capelin in the murres’ foraging range.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Yet the population of murres on Funk Island, did increase during the 2000s </w:t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&lt;EndNote&gt;&lt;Cite&gt;&lt;Author&gt;Chardine&lt;/Author&gt;&lt;Year&gt;2003&lt;/Year&gt;&lt;RecNum&gt;242&lt;/RecNum&gt;&lt;DisplayText&gt;(Chardine et al. 2003)&lt;/DisplayText&gt;&lt;record&gt;&lt;rec-number&gt;242&lt;/rec-number&gt;&lt;foreign-keys&gt;&lt;key app="EN" db-id="2pv5prxr6xz2a4ea50h5dww0ewvx0ttdtdsa" timestamp="1449717149"&gt;242&lt;/key&gt;&lt;/foreign-keys&gt;&lt;ref-type name="Journal Article"&gt;17&lt;/ref-type&gt;&lt;contributors&gt;&lt;authors&gt;&lt;author&gt;Chardine, J.W.&lt;/author&gt;&lt;author&gt;Robertson, G.J.&lt;/author&gt;&lt;author&gt;Ryan, P.C.&lt;/author&gt;&lt;author&gt;Turner, B.&lt;/author&gt;&lt;/authors&gt;&lt;/contributors&gt;&lt;titles&gt;&lt;title&gt;Abundance and distribution of common murres breeding at Funk Island, Newfoundland in 1972 and 2000&lt;/title&gt;&lt;secondary-title&gt;Canadian Wildlife Service Technical Report Series. Atlantic Region&lt;/secondary-title&gt;&lt;/titles&gt;&lt;periodical&gt;&lt;full-title&gt;Canadian Wildlife Service Technical Report Series. Atlantic Region&lt;/full-title&gt;&lt;/periodical&gt;&lt;pages&gt;iv + 15&lt;/pages&gt;&lt;number&gt;404&lt;/number&gt;&lt;reprint-edition&gt;Not in File&lt;/reprint-edition&gt;&lt;dates&gt;&lt;year&gt;2003&lt;/year&gt;&lt;pub-dates&gt;&lt;date&gt;2003&lt;/date&gt;&lt;/pub-dates&gt;&lt;/dates&gt;&lt;label&gt;253&lt;/label&gt;&lt;urls&gt;&lt;/urls&gt;&lt;/record&gt;&lt;/Cite&gt;&lt;/EndNote&gt;</w:instrText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(Chardine et al. 2003)</w:t>
      </w:r>
      <w:r w:rsidR="00563B6A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, though it is in no way paradoxical with reduced capelin biomass.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Much of this population increase is associated major reductions in adult mortality with the coincident closure of</w:t>
      </w:r>
      <w:r w:rsidR="00776C50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the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northern cod fishery and the removal of thousands of gillnets from inshore areas during the 1990s and 2000s and consequent bycatch mortality 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&lt;EndNote&gt;&lt;Cite&gt;&lt;Author&gt;Regular&lt;/Author&gt;&lt;Year&gt;2013&lt;/Year&gt;&lt;RecNum&gt;919&lt;/RecNum&gt;&lt;DisplayText&gt;(Regular et al. 2013)&lt;/DisplayText&gt;&lt;record&gt;&lt;rec-number&gt;919&lt;/rec-number&gt;&lt;foreign-keys&gt;&lt;key app="EN" db-id="2pv5prxr6xz2a4ea50h5dww0ewvx0ttdtdsa" timestamp="1518107461"&gt;919&lt;/key&gt;&lt;/foreign-keys&gt;&lt;ref-type name="Journal Article"&gt;17&lt;/ref-type&gt;&lt;contributors&gt;&lt;authors&gt;&lt;author&gt;Regular, Paul&lt;/author&gt;&lt;author&gt;Montevecchi, William&lt;/author&gt;&lt;author&gt;Hedd, April&lt;/author&gt;&lt;author&gt;Robertson, Gregory&lt;/author&gt;&lt;author&gt;Wilhelm, Sabina&lt;/author&gt;&lt;/authors&gt;&lt;/contributors&gt;&lt;titles&gt;&lt;title&gt;Canadian fishery closures provide a large-scale test of the impact of gillnet bycatch on seabird populations&lt;/title&gt;&lt;secondary-title&gt;Biology Letters&lt;/secondary-title&gt;&lt;/titles&gt;&lt;periodical&gt;&lt;full-title&gt;Biology Letters&lt;/full-title&gt;&lt;/periodical&gt;&lt;volume&gt;9&lt;/volume&gt;&lt;number&gt;4&lt;/number&gt;&lt;dates&gt;&lt;year&gt;2013&lt;/year&gt;&lt;/dates&gt;&lt;work-type&gt;10.1098/rsbl.2013.0088&lt;/work-type&gt;&lt;urls&gt;&lt;related-urls&gt;&lt;url&gt;http://rsbl.royalsocietypublishing.org/content/9/4/20130088.abstract&lt;/url&gt;&lt;/related-urls&gt;&lt;/urls&gt;&lt;/record&gt;&lt;/Cite&gt;&lt;/EndNote&gt;</w:instrTex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(Regular et al. 2013)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. As well, reductions in adult mortality associated with ship-source oil pollution and with hunting have also decreased during this same period (</w:t>
      </w:r>
      <w:r w:rsidR="00117823" w:rsidRP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  <w:highlight w:val="yellow"/>
        </w:rPr>
        <w:t>Robertson et al. 2008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), and the cumulative effects of these reductions in adult mortality would have overweighed negative population effects associated with bottom-up prey base reductions.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Along the same lines the population growth of Atlantic puffins </w:t>
      </w:r>
      <w:r w:rsidR="00117823" w:rsidRPr="00776C50">
        <w:rPr>
          <w:rFonts w:ascii="Times New Roman" w:eastAsia="Times New Roman" w:hAnsi="Times New Roman" w:cs="Times New Roman"/>
          <w:i/>
          <w:noProof/>
          <w:color w:val="151518"/>
          <w:sz w:val="24"/>
          <w:szCs w:val="24"/>
        </w:rPr>
        <w:t xml:space="preserve">Fratercula </w:t>
      </w:r>
      <w:bookmarkEnd w:id="0"/>
      <w:r w:rsidR="00117823" w:rsidRPr="00776C50">
        <w:rPr>
          <w:rFonts w:ascii="Times New Roman" w:eastAsia="Times New Roman" w:hAnsi="Times New Roman" w:cs="Times New Roman"/>
          <w:i/>
          <w:noProof/>
          <w:color w:val="151518"/>
          <w:sz w:val="24"/>
          <w:szCs w:val="24"/>
        </w:rPr>
        <w:t>arctica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and northern gannets </w:t>
      </w:r>
      <w:r w:rsidR="00117823" w:rsidRPr="00776C50">
        <w:rPr>
          <w:rFonts w:ascii="Times New Roman" w:eastAsia="Times New Roman" w:hAnsi="Times New Roman" w:cs="Times New Roman"/>
          <w:i/>
          <w:noProof/>
          <w:color w:val="151518"/>
          <w:sz w:val="24"/>
          <w:szCs w:val="24"/>
        </w:rPr>
        <w:t>Morus bassanus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also increased over this period 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&lt;EndNote&gt;&lt;Cite&gt;&lt;Author&gt;Chardine&lt;/Author&gt;&lt;Year&gt;2003&lt;/Year&gt;&lt;RecNum&gt;242&lt;/RecNum&gt;&lt;DisplayText&gt;(Chardine et al. 2003)&lt;/DisplayText&gt;&lt;record&gt;&lt;rec-number&gt;242&lt;/rec-number&gt;&lt;foreign-keys&gt;&lt;key app="EN" db-id="2pv5prxr6xz2a4ea50h5dww0ewvx0ttdtdsa" timestamp="1449717149"&gt;242&lt;/key&gt;&lt;/foreign-keys&gt;&lt;ref-type name="Journal Article"&gt;17&lt;/ref-type&gt;&lt;contributors&gt;&lt;authors&gt;&lt;author&gt;Chardine, J.W.&lt;/author&gt;&lt;author&gt;Robertson, G.J.&lt;/author&gt;&lt;author&gt;Ryan, P.C.&lt;/author&gt;&lt;author&gt;Turner, B.&lt;/author&gt;&lt;/authors&gt;&lt;/contributors&gt;&lt;titles&gt;&lt;title&gt;Abundance and distribution of common murres breeding at Funk Island, Newfoundland in 1972 and 2000&lt;/title&gt;&lt;secondary-title&gt;Canadian Wildlife Service Technical Report Series. Atlantic Region&lt;/secondary-title&gt;&lt;/titles&gt;&lt;periodical&gt;&lt;full-title&gt;Canadian Wildlife Service Technical Report Series. Atlantic Region&lt;/full-title&gt;&lt;/periodical&gt;&lt;pages&gt;iv + 15&lt;/pages&gt;&lt;number&gt;404&lt;/number&gt;&lt;reprint-edition&gt;Not in File&lt;/reprint-edition&gt;&lt;dates&gt;&lt;year&gt;2003&lt;/year&gt;&lt;pub-dates&gt;&lt;date&gt;2003&lt;/date&gt;&lt;/pub-dates&gt;&lt;/dates&gt;&lt;label&gt;253&lt;/label&gt;&lt;urls&gt;&lt;/urls&gt;&lt;/record&gt;&lt;/Cite&gt;&lt;/EndNote&gt;</w:instrTex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(Chardine et al. 2003)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, and these increases are associated with the above cumulative effects.</w:t>
      </w:r>
    </w:p>
    <w:p w:rsidR="00117823" w:rsidRPr="00117823" w:rsidRDefault="00117823" w:rsidP="00117823">
      <w:pPr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</w:pPr>
      <w:r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While the overall abundance of capelin is well below 33% long-term stock biomass assumed to be a critical threshold for seabird production</w:t>
      </w:r>
      <w:r w:rsidR="002D105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  <w:r w:rsidR="002D105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 w:rsidR="002D105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&lt;EndNote&gt;&lt;Cite&gt;&lt;Author&gt;Cury&lt;/Author&gt;&lt;Year&gt;2011&lt;/Year&gt;&lt;RecNum&gt;920&lt;/RecNum&gt;&lt;DisplayText&gt;(Cury et al. 2011)&lt;/DisplayText&gt;&lt;record&gt;&lt;rec-number&gt;920&lt;/rec-number&gt;&lt;foreign-keys&gt;&lt;key app="EN" db-id="2pv5prxr6xz2a4ea50h5dww0ewvx0ttdtdsa" timestamp="1518107940"&gt;920&lt;/key&gt;&lt;/foreign-keys&gt;&lt;ref-type name="Journal Article"&gt;17&lt;/ref-type&gt;&lt;contributors&gt;&lt;authors&gt;&lt;author&gt;Cury, Philippe M.&lt;/author&gt;&lt;author&gt;Boyd, Ian L.&lt;/author&gt;&lt;author&gt;Bonhommeau, Sylvain&lt;/author&gt;&lt;author&gt;Anker-Nilssen, Tycho&lt;/author&gt;&lt;author&gt;Crawford, Robert J. M.&lt;/author&gt;&lt;author&gt;Furness, Robert W.&lt;/author&gt;&lt;author&gt;Mills, James A.&lt;/author&gt;&lt;author&gt;Murphy, Eugene J.&lt;/author&gt;&lt;author&gt;Österblom, Henrik&lt;/author&gt;&lt;author&gt;Paleczny, Michelle&lt;/author&gt;&lt;author&gt;Piatt, John F.&lt;/author&gt;&lt;author&gt;Roux, Jean-Paul&lt;/author&gt;&lt;author&gt;Shannon, Lynne&lt;/author&gt;&lt;author&gt;Sydeman, William J.&lt;/author&gt;&lt;/authors&gt;&lt;/contributors&gt;&lt;titles&gt;&lt;title&gt;Global Seabird Response to Forage Fish Depletion—One-Third for the Birds&lt;/title&gt;&lt;secondary-title&gt;Science&lt;/secondary-title&gt;&lt;/titles&gt;&lt;periodical&gt;&lt;full-title&gt;Science&lt;/full-title&gt;&lt;/periodical&gt;&lt;pages&gt;1703&lt;/pages&gt;&lt;volume&gt;334&lt;/volume&gt;&lt;number&gt;6063&lt;/number&gt;&lt;dates&gt;&lt;year&gt;2011&lt;/year&gt;&lt;/dates&gt;&lt;work-type&gt;10.1126/science.1212928&lt;/work-type&gt;&lt;urls&gt;&lt;related-urls&gt;&lt;url&gt;http://science.sciencemag.org/content/334/6063/1703.abstract&lt;/url&gt;&lt;/related-urls&gt;&lt;/urls&gt;&lt;/record&gt;&lt;/Cite&gt;&lt;/EndNote&gt;</w:instrText>
      </w:r>
      <w:r w:rsidR="002D105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 w:rsidR="002D105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(Cury et al. 2011)</w:t>
      </w:r>
      <w:r w:rsidR="002D1056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, it appears that the distribution and density of the forage fish within the seabird foraging around Funk Island is robust representing a hotspot in an otherwise very sparse overall distribution [</w:t>
      </w:r>
      <w:r w:rsidRPr="004A0DCF">
        <w:rPr>
          <w:rFonts w:ascii="Times New Roman" w:eastAsia="Times New Roman" w:hAnsi="Times New Roman" w:cs="Times New Roman"/>
          <w:noProof/>
          <w:color w:val="151518"/>
          <w:sz w:val="24"/>
          <w:szCs w:val="24"/>
          <w:highlight w:val="yellow"/>
        </w:rPr>
        <w:t>Gail; Mowbray</w:t>
      </w:r>
      <w:r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].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  <w:r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Interestingly, the common murres’ largest colony is on Funk Island, perhaps as a consequence of these conditions.</w:t>
      </w:r>
      <w:r w:rsidR="00022538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</w:t>
      </w:r>
    </w:p>
    <w:p w:rsidR="00117823" w:rsidRPr="00117823" w:rsidRDefault="00022538" w:rsidP="00117823">
      <w:pPr>
        <w:autoSpaceDE w:val="0"/>
        <w:autoSpaceDN w:val="0"/>
        <w:adjustRightInd w:val="0"/>
        <w:spacing w:after="240" w:line="280" w:lineRule="atLeast"/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</w:pPr>
      <w:r w:rsidRPr="00AB7D1B">
        <w:rPr>
          <w:rFonts w:ascii="Times New Roman" w:hAnsi="Times New Roman" w:cs="Times New Roman"/>
          <w:color w:val="1B1C20"/>
          <w:sz w:val="24"/>
          <w:szCs w:val="24"/>
        </w:rPr>
        <w:fldChar w:fldCharType="begin"/>
      </w:r>
      <w:r w:rsidRPr="00AB7D1B">
        <w:rPr>
          <w:rFonts w:ascii="Times New Roman" w:hAnsi="Times New Roman" w:cs="Times New Roman"/>
          <w:color w:val="1B1C20"/>
          <w:sz w:val="24"/>
          <w:szCs w:val="24"/>
        </w:rPr>
        <w:instrText xml:space="preserve"> ADDIN EN.CITE &lt;EndNote&gt;&lt;Cite AuthorYear="1"&gt;&lt;Author&gt;Frank&lt;/Author&gt;&lt;Year&gt;2016&lt;/Year&gt;&lt;RecNum&gt;890&lt;/RecNum&gt;&lt;DisplayText&gt;Frank et al. (2016)&lt;/DisplayText&gt;&lt;record&gt;&lt;rec-number&gt;890&lt;/rec-number&gt;&lt;foreign-keys&gt;&lt;key app="EN" db-id="2pv5prxr6xz2a4ea50h5dww0ewvx0ttdtdsa" timestamp="1516286327"&gt;890&lt;/key&gt;&lt;/foreign-keys&gt;&lt;ref-type name="Journal Article"&gt;17&lt;/ref-type&gt;&lt;contributors&gt;&lt;authors&gt;&lt;author&gt;Frank, K. T.&lt;/author&gt;&lt;author&gt;Petrie, B.&lt;/author&gt;&lt;author&gt;Boyce, D.&lt;/author&gt;&lt;author&gt;Leggett, W. C.&lt;/author&gt;&lt;/authors&gt;&lt;/contributors&gt;&lt;titles&gt;&lt;title&gt;Anomalous ecosystem dynamics following the apparent collapse of a keystone forage species&lt;/title&gt;&lt;secondary-title&gt;Marine Ecology Progress Series&lt;/secondary-title&gt;&lt;/titles&gt;&lt;periodical&gt;&lt;full-title&gt;Marine Ecology Progress Series&lt;/full-title&gt;&lt;/periodical&gt;&lt;pages&gt;185-202&lt;/pages&gt;&lt;volume&gt;553&lt;/volume&gt;&lt;dates&gt;&lt;year&gt;2016&lt;/year&gt;&lt;/dates&gt;&lt;urls&gt;&lt;related-urls&gt;&lt;url&gt;http://www.int-res.com/abstracts/meps/v553/p185-202/&lt;/url&gt;&lt;/related-urls&gt;&lt;/urls&gt;&lt;/record&gt;&lt;/Cite&gt;&lt;/EndNote&gt;</w:instrText>
      </w:r>
      <w:r w:rsidRPr="00AB7D1B">
        <w:rPr>
          <w:rFonts w:ascii="Times New Roman" w:hAnsi="Times New Roman" w:cs="Times New Roman"/>
          <w:color w:val="1B1C20"/>
          <w:sz w:val="24"/>
          <w:szCs w:val="24"/>
        </w:rPr>
        <w:fldChar w:fldCharType="separate"/>
      </w:r>
      <w:r w:rsidRPr="00AB7D1B">
        <w:rPr>
          <w:rFonts w:ascii="Times New Roman" w:hAnsi="Times New Roman" w:cs="Times New Roman"/>
          <w:noProof/>
          <w:color w:val="1B1C20"/>
          <w:sz w:val="24"/>
          <w:szCs w:val="24"/>
        </w:rPr>
        <w:t>Frank et al. (2016)</w:t>
      </w:r>
      <w:r w:rsidRPr="00AB7D1B">
        <w:rPr>
          <w:rFonts w:ascii="Times New Roman" w:hAnsi="Times New Roman" w:cs="Times New Roman"/>
          <w:color w:val="1B1C20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 also questioned why the northern gannets’ consumption of capelin is considerably higher from 1990- 2004 </w:t>
      </w:r>
      <w:r w:rsidR="0048055B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(20 – 100 %</w:t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) than it is before 1990 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/>
      </w:r>
      <w:r w:rsidR="00663624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&lt;EndNote&gt;&lt;Cite&gt;&lt;Author&gt;Montevecchi&lt;/Author&gt;&lt;Year&gt;2007&lt;/Year&gt;&lt;RecNum&gt;730&lt;/RecNum&gt;&lt;Prefix&gt;&amp;lt;12%`; &lt;/Prefix&gt;&lt;DisplayText&gt;(&amp;lt;12%; Montevecchi 2007)&lt;/DisplayText&gt;&lt;record&gt;&lt;rec-number&gt;730&lt;/rec-number&gt;&lt;foreign-keys&gt;&lt;key app="EN" db-id="2pv5prxr6xz2a4ea50h5dww0ewvx0ttdtdsa" timestamp="1449717192"&gt;730&lt;/key&gt;&lt;/foreign-keys&gt;&lt;ref-type name="Journal Article"&gt;17&lt;/ref-type&gt;&lt;contributors&gt;&lt;authors&gt;&lt;author&gt;Montevecchi, William A.&lt;/author&gt;&lt;/authors&gt;&lt;/contributors&gt;&lt;titles&gt;&lt;title&gt;&lt;style face="normal" font="default" size="100%"&gt;Binary dietary responses of northern gannets &lt;/style&gt;&lt;style face="italic" font="default" size="100%"&gt;Sula bassana&lt;/style&gt;&lt;style face="normal" font="default" size="100%"&gt; indicate changing food web and oceanographic conditions&lt;/style&gt;&lt;/title&gt;&lt;secondary-title&gt;Marine Ecology Progress Series&lt;/secondary-title&gt;&lt;/titles&gt;&lt;periodical&gt;&lt;full-title&gt;Marine Ecology Progress Series&lt;/full-title&gt;&lt;/periodical&gt;&lt;pages&gt;213-220&lt;/pages&gt;&lt;volume&gt;352&lt;/volume&gt;&lt;reprint-edition&gt;Not in File&lt;/reprint-edition&gt;&lt;keywords&gt;&lt;keyword&gt;food web&lt;/keyword&gt;&lt;/keywords&gt;&lt;dates&gt;&lt;year&gt;2007&lt;/year&gt;&lt;pub-dates&gt;&lt;date&gt;2007&lt;/date&gt;&lt;/pub-dates&gt;&lt;/dates&gt;&lt;label&gt;754&lt;/label&gt;&lt;urls&gt;&lt;/urls&gt;&lt;/record&gt;&lt;/Cite&gt;&lt;/EndNote&gt;</w:instrTex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 w:rsidR="00663624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(&lt;12%; Montevecchi 2007)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, yet they ignore our primary contention that the cold water regime shift precluded the gannet’s preferred large pelagic warm-water prey from moving into the region hence facilitating ther prey s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 xml:space="preserve">witch to capelin 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>
          <w:fldData xml:space="preserve">PEVuZE5vdGU+PENpdGU+PEF1dGhvcj5Nb250ZXZlY2NoaTwvQXV0aG9yPjxZZWFyPjIwMDc8L1ll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=
</w:fldData>
        </w:fldChar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 </w:instrTex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begin">
          <w:fldData xml:space="preserve">PEVuZE5vdGU+PENpdGU+PEF1dGhvcj5Nb250ZXZlY2NoaTwvQXV0aG9yPjxZZWFyPjIwMDc8L1ll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=
</w:fldData>
        </w:fldChar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instrText xml:space="preserve"> ADDIN EN.CITE.DATA </w:instrTex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(Montevecchi &amp; Myers 1997, Montevecchi 2007)</w:t>
      </w:r>
      <w:r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fldChar w:fldCharType="end"/>
      </w:r>
      <w:r w:rsidR="00117823" w:rsidRPr="00117823">
        <w:rPr>
          <w:rFonts w:ascii="Times New Roman" w:eastAsia="Times New Roman" w:hAnsi="Times New Roman" w:cs="Times New Roman"/>
          <w:noProof/>
          <w:color w:val="151518"/>
          <w:sz w:val="24"/>
          <w:szCs w:val="24"/>
        </w:rPr>
        <w:t>.</w:t>
      </w:r>
    </w:p>
    <w:p w:rsidR="008D61EA" w:rsidRDefault="008D61EA">
      <w:pPr>
        <w:rPr>
          <w:lang w:val="en-US"/>
        </w:rPr>
      </w:pPr>
    </w:p>
    <w:p w:rsidR="002D1056" w:rsidRPr="002D1056" w:rsidRDefault="008D61EA" w:rsidP="002D105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D1056" w:rsidRPr="002D1056">
        <w:t>Chardine JW, Robertson GJ, Ryan PC, Turner B (2003) Abundance and distribution of common murres breeding at Funk Island, Newfoundland in 1972 and 2000. Canadian Wildlife Service Technical Report Series Atlantic Region:iv + 15</w:t>
      </w:r>
    </w:p>
    <w:p w:rsidR="002D1056" w:rsidRPr="002D1056" w:rsidRDefault="002D1056" w:rsidP="002D1056">
      <w:pPr>
        <w:pStyle w:val="EndNoteBibliography"/>
        <w:spacing w:after="0"/>
        <w:ind w:left="720" w:hanging="720"/>
      </w:pPr>
      <w:r w:rsidRPr="002D1056">
        <w:t>Cury PM, Boyd IL, Bonhommeau S, Anker-Nilssen T, Crawford RJM, Furness RW, Mills JA, Murphy EJ, Österblom H, Paleczny M, Piatt JF, Roux J-P, Shannon L, Sydeman WJ (2011) Global Seabird Response to Forage Fish Depletion—One-Third for the Birds. Science 334:1703</w:t>
      </w:r>
    </w:p>
    <w:p w:rsidR="002D1056" w:rsidRPr="002D1056" w:rsidRDefault="002D1056" w:rsidP="002D1056">
      <w:pPr>
        <w:pStyle w:val="EndNoteBibliography"/>
        <w:spacing w:after="0"/>
        <w:ind w:left="720" w:hanging="720"/>
      </w:pPr>
      <w:r w:rsidRPr="002D1056">
        <w:lastRenderedPageBreak/>
        <w:t>Davoren GK, Montevecchi WA (2003) Signals from seabirds indicate changing biology of capelin stocks. Marine Ecology Progress Series 258:253-261</w:t>
      </w:r>
    </w:p>
    <w:p w:rsidR="002D1056" w:rsidRPr="002D1056" w:rsidRDefault="002D1056" w:rsidP="002D1056">
      <w:pPr>
        <w:pStyle w:val="EndNoteBibliography"/>
        <w:spacing w:after="0"/>
        <w:ind w:left="720" w:hanging="720"/>
      </w:pPr>
      <w:r w:rsidRPr="002D1056">
        <w:t>Frank KT, Petrie B, Boyce D, Leggett WC (2016) Anomalous ecosystem dynamics following the apparent collapse of a keystone forage species. Marine Ecology Progress Series 553:185-202</w:t>
      </w:r>
    </w:p>
    <w:p w:rsidR="002D1056" w:rsidRPr="002D1056" w:rsidRDefault="002D1056" w:rsidP="002D1056">
      <w:pPr>
        <w:pStyle w:val="EndNoteBibliography"/>
        <w:spacing w:after="0"/>
        <w:ind w:left="720" w:hanging="720"/>
      </w:pPr>
      <w:r w:rsidRPr="002D1056">
        <w:t>Montevecchi WA (2000) Seabirds. In: Bundy A, Lilly GR, Shelton PA (eds) A Mass Balance Model of the Newfoundland-Labrador Shelf</w:t>
      </w:r>
    </w:p>
    <w:p w:rsidR="002D1056" w:rsidRPr="002D1056" w:rsidRDefault="002D1056" w:rsidP="002D1056">
      <w:pPr>
        <w:pStyle w:val="EndNoteBibliography"/>
        <w:spacing w:after="0"/>
        <w:ind w:left="720" w:hanging="720"/>
      </w:pPr>
      <w:r w:rsidRPr="002D1056">
        <w:t xml:space="preserve">Montevecchi WA (2007) Binary dietary responses of northern gannets </w:t>
      </w:r>
      <w:r w:rsidRPr="002D1056">
        <w:rPr>
          <w:i/>
        </w:rPr>
        <w:t>Sula bassana</w:t>
      </w:r>
      <w:r w:rsidRPr="002D1056">
        <w:t xml:space="preserve"> indicate changing food web and oceanographic conditions. Marine Ecology Progress Series 352:213-220</w:t>
      </w:r>
    </w:p>
    <w:p w:rsidR="002D1056" w:rsidRPr="002D1056" w:rsidRDefault="002D1056" w:rsidP="002D1056">
      <w:pPr>
        <w:pStyle w:val="EndNoteBibliography"/>
        <w:spacing w:after="0"/>
        <w:ind w:left="720" w:hanging="720"/>
      </w:pPr>
      <w:r w:rsidRPr="002D1056">
        <w:t>Montevecchi WA, Myers RA (1997) Centurial and decadal oceanographic influences on changes in Northern Gannet populations and diets in the Northwest Atlantic: Implications for climate change. ICES Journal of Marine Science 54:608-614</w:t>
      </w:r>
    </w:p>
    <w:p w:rsidR="002D1056" w:rsidRPr="002D1056" w:rsidRDefault="002D1056" w:rsidP="002D1056">
      <w:pPr>
        <w:pStyle w:val="EndNoteBibliography"/>
        <w:ind w:left="720" w:hanging="720"/>
      </w:pPr>
      <w:r w:rsidRPr="002D1056">
        <w:t>Regular P, Montevecchi W, Hedd A, Robertson G, Wilhelm S (2013) Canadian fishery closures provide a large-scale test of the impact of gillnet bycatch on seabird populations. Biology Letters 9</w:t>
      </w:r>
    </w:p>
    <w:p w:rsidR="00117823" w:rsidRPr="00117823" w:rsidRDefault="008D61EA">
      <w:pPr>
        <w:rPr>
          <w:lang w:val="en-US"/>
        </w:rPr>
      </w:pPr>
      <w:r>
        <w:rPr>
          <w:lang w:val="en-US"/>
        </w:rPr>
        <w:fldChar w:fldCharType="end"/>
      </w:r>
    </w:p>
    <w:sectPr w:rsidR="00117823" w:rsidRPr="00117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rine Ecology Prog Serie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pv5prxr6xz2a4ea50h5dww0ewvx0ttdtdsa&quot;&gt;biblio_db&lt;record-ids&gt;&lt;item&gt;143&lt;/item&gt;&lt;item&gt;160&lt;/item&gt;&lt;item&gt;163&lt;/item&gt;&lt;item&gt;242&lt;/item&gt;&lt;item&gt;730&lt;/item&gt;&lt;item&gt;890&lt;/item&gt;&lt;item&gt;919&lt;/item&gt;&lt;item&gt;920&lt;/item&gt;&lt;/record-ids&gt;&lt;/item&gt;&lt;/Libraries&gt;"/>
  </w:docVars>
  <w:rsids>
    <w:rsidRoot w:val="00117823"/>
    <w:rsid w:val="00022538"/>
    <w:rsid w:val="00117823"/>
    <w:rsid w:val="00155451"/>
    <w:rsid w:val="00231226"/>
    <w:rsid w:val="002D1056"/>
    <w:rsid w:val="0048055B"/>
    <w:rsid w:val="004A0DCF"/>
    <w:rsid w:val="00563B6A"/>
    <w:rsid w:val="00663624"/>
    <w:rsid w:val="00776C50"/>
    <w:rsid w:val="008D61EA"/>
    <w:rsid w:val="00B5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8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8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8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ndNoteBibliographyTitle">
    <w:name w:val="EndNote Bibliography Title"/>
    <w:basedOn w:val="Normal"/>
    <w:link w:val="EndNoteBibliographyTitleChar"/>
    <w:rsid w:val="008D61EA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61EA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D61EA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D61EA"/>
    <w:rPr>
      <w:rFonts w:ascii="Calibri" w:hAnsi="Calibri"/>
      <w:noProof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8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8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8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ndNoteBibliographyTitle">
    <w:name w:val="EndNote Bibliography Title"/>
    <w:basedOn w:val="Normal"/>
    <w:link w:val="EndNoteBibliographyTitleChar"/>
    <w:rsid w:val="008D61EA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61EA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D61EA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D61EA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Buren</dc:creator>
  <cp:lastModifiedBy>Alejandro Buren</cp:lastModifiedBy>
  <cp:revision>8</cp:revision>
  <dcterms:created xsi:type="dcterms:W3CDTF">2018-02-08T16:20:00Z</dcterms:created>
  <dcterms:modified xsi:type="dcterms:W3CDTF">2018-02-08T16:56:00Z</dcterms:modified>
</cp:coreProperties>
</file>