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FB" w:rsidRDefault="00F00BFB" w:rsidP="00F00BFB">
      <w:pPr>
        <w:pStyle w:val="Heading3"/>
      </w:pPr>
      <w:r>
        <w:t>Temporal dynamics of cod weight at age and condition</w:t>
      </w:r>
    </w:p>
    <w:p w:rsidR="00922FEB" w:rsidRDefault="00922FEB">
      <w:pPr>
        <w:rPr>
          <w:rFonts w:ascii="Candida-Roman" w:hAnsi="Candida-Roman"/>
          <w:color w:val="1B1C20"/>
          <w:sz w:val="20"/>
          <w:szCs w:val="20"/>
        </w:rPr>
      </w:pPr>
      <w:r>
        <w:rPr>
          <w:rFonts w:ascii="Candida-Roman" w:hAnsi="Candida-Roman"/>
          <w:color w:val="1B1C20"/>
          <w:sz w:val="20"/>
          <w:szCs w:val="20"/>
        </w:rPr>
        <w:t>FROM INTRO</w:t>
      </w:r>
    </w:p>
    <w:p w:rsidR="00922FEB" w:rsidRDefault="00922FEB">
      <w:pPr>
        <w:rPr>
          <w:rFonts w:ascii="Candida-Roman" w:hAnsi="Candida-Roman"/>
          <w:color w:val="1B1C20"/>
          <w:sz w:val="20"/>
          <w:szCs w:val="20"/>
        </w:rPr>
      </w:pPr>
      <w:r w:rsidRPr="00922FEB">
        <w:rPr>
          <w:rFonts w:ascii="Candida-Roman" w:hAnsi="Candida-Roman"/>
          <w:color w:val="1B1C20"/>
          <w:sz w:val="20"/>
          <w:szCs w:val="20"/>
        </w:rPr>
        <w:t>The ecosystem and species-level impacts of biomass declines of capelin in other North Atlantic</w:t>
      </w:r>
      <w:r w:rsidRPr="00922FEB">
        <w:rPr>
          <w:rFonts w:ascii="Candida-Roman" w:hAnsi="Candida-Roman"/>
          <w:color w:val="1B1C20"/>
          <w:sz w:val="20"/>
          <w:szCs w:val="20"/>
        </w:rPr>
        <w:br/>
        <w:t>regions (Iceland and Barents Sea) provide insight</w:t>
      </w:r>
      <w:r w:rsidRPr="00922FEB">
        <w:rPr>
          <w:rFonts w:ascii="Candida-Roman" w:hAnsi="Candida-Roman"/>
          <w:color w:val="1B1C20"/>
          <w:sz w:val="20"/>
          <w:szCs w:val="20"/>
        </w:rPr>
        <w:br/>
        <w:t>into what might have been expected in the NL marine environment. In the Iceland ecosystem, overfishing led to a dramatic decline of capelin biomass</w:t>
      </w:r>
      <w:r w:rsidRPr="00922FEB">
        <w:rPr>
          <w:rFonts w:ascii="Candida-Roman" w:hAnsi="Candida-Roman"/>
          <w:color w:val="1B1C20"/>
          <w:sz w:val="20"/>
          <w:szCs w:val="20"/>
        </w:rPr>
        <w:br/>
        <w:t>from 2 Mt in 1978 to 0.3 Mt (85% decrease) in 1982</w:t>
      </w:r>
      <w:r w:rsidRPr="00922FEB">
        <w:rPr>
          <w:rFonts w:ascii="Candida-Roman" w:hAnsi="Candida-Roman"/>
          <w:color w:val="1B1C20"/>
          <w:sz w:val="20"/>
          <w:szCs w:val="20"/>
        </w:rPr>
        <w:br/>
        <w:t xml:space="preserve">and, in response, the weight at age of Icelandic </w:t>
      </w:r>
      <w:proofErr w:type="gramStart"/>
      <w:r w:rsidRPr="00922FEB">
        <w:rPr>
          <w:rFonts w:ascii="Candida-Roman" w:hAnsi="Candida-Roman"/>
          <w:color w:val="1B1C20"/>
          <w:sz w:val="20"/>
          <w:szCs w:val="20"/>
        </w:rPr>
        <w:t>cod</w:t>
      </w:r>
      <w:proofErr w:type="gramEnd"/>
      <w:r w:rsidRPr="00922FEB">
        <w:rPr>
          <w:rFonts w:ascii="Candida-Roman" w:hAnsi="Candida-Roman"/>
          <w:color w:val="1B1C20"/>
          <w:sz w:val="20"/>
          <w:szCs w:val="20"/>
        </w:rPr>
        <w:br/>
        <w:t xml:space="preserve">(ages 5-8 </w:t>
      </w:r>
      <w:proofErr w:type="spellStart"/>
      <w:r w:rsidRPr="00922FEB">
        <w:rPr>
          <w:rFonts w:ascii="Candida-Roman" w:hAnsi="Candida-Roman"/>
          <w:color w:val="1B1C20"/>
          <w:sz w:val="20"/>
          <w:szCs w:val="20"/>
        </w:rPr>
        <w:t>yr</w:t>
      </w:r>
      <w:proofErr w:type="spellEnd"/>
      <w:r w:rsidRPr="00922FEB">
        <w:rPr>
          <w:rFonts w:ascii="Candida-Roman" w:hAnsi="Candida-Roman"/>
          <w:color w:val="1B1C20"/>
          <w:sz w:val="20"/>
          <w:szCs w:val="20"/>
        </w:rPr>
        <w:t>) declined by 25-30% (</w:t>
      </w:r>
      <w:proofErr w:type="spellStart"/>
      <w:r w:rsidRPr="00922FEB">
        <w:rPr>
          <w:rFonts w:ascii="Candida-Roman" w:hAnsi="Candida-Roman"/>
          <w:color w:val="1B1C20"/>
          <w:sz w:val="20"/>
          <w:szCs w:val="20"/>
        </w:rPr>
        <w:t>Vilhjálmsson</w:t>
      </w:r>
      <w:proofErr w:type="spellEnd"/>
      <w:r w:rsidRPr="00922FEB">
        <w:rPr>
          <w:rFonts w:ascii="Candida-Roman" w:hAnsi="Candida-Roman"/>
          <w:color w:val="1B1C20"/>
          <w:sz w:val="20"/>
          <w:szCs w:val="20"/>
        </w:rPr>
        <w:br/>
        <w:t>2002). Similar responses were observed in the Barents Sea, where overfishing of capelin during the</w:t>
      </w:r>
      <w:r w:rsidRPr="00922FEB">
        <w:rPr>
          <w:rFonts w:ascii="Candida-Roman" w:hAnsi="Candida-Roman"/>
          <w:color w:val="1B1C20"/>
          <w:sz w:val="20"/>
          <w:szCs w:val="20"/>
        </w:rPr>
        <w:br/>
        <w:t>1980s resulted in a sudden 6 Mt collapse (</w:t>
      </w:r>
      <w:proofErr w:type="spellStart"/>
      <w:r w:rsidRPr="00922FEB">
        <w:rPr>
          <w:rFonts w:ascii="Candida-Roman" w:hAnsi="Candida-Roman"/>
          <w:color w:val="1B1C20"/>
          <w:sz w:val="20"/>
          <w:szCs w:val="20"/>
        </w:rPr>
        <w:t>Gjøsæteret</w:t>
      </w:r>
      <w:proofErr w:type="spellEnd"/>
      <w:r w:rsidRPr="00922FEB">
        <w:rPr>
          <w:rFonts w:ascii="Candida-Roman" w:hAnsi="Candida-Roman"/>
          <w:color w:val="1B1C20"/>
          <w:sz w:val="20"/>
          <w:szCs w:val="20"/>
        </w:rPr>
        <w:t xml:space="preserve"> al. 2009). This was followed by a 1-2 kg</w:t>
      </w:r>
      <w:r w:rsidRPr="00922FEB">
        <w:rPr>
          <w:rFonts w:ascii="Candida-Roman" w:hAnsi="Candida-Roman"/>
          <w:color w:val="1B1C20"/>
          <w:sz w:val="20"/>
          <w:szCs w:val="20"/>
        </w:rPr>
        <w:br/>
        <w:t xml:space="preserve">reduction in the average weight at age of 4-6 </w:t>
      </w:r>
      <w:proofErr w:type="spellStart"/>
      <w:r w:rsidRPr="00922FEB">
        <w:rPr>
          <w:rFonts w:ascii="Candida-Roman" w:hAnsi="Candida-Roman"/>
          <w:color w:val="1B1C20"/>
          <w:sz w:val="20"/>
          <w:szCs w:val="20"/>
        </w:rPr>
        <w:t>yr</w:t>
      </w:r>
      <w:proofErr w:type="spellEnd"/>
      <w:r w:rsidRPr="00922FEB">
        <w:rPr>
          <w:rFonts w:ascii="Candida-Roman" w:hAnsi="Candida-Roman"/>
          <w:color w:val="1B1C20"/>
          <w:sz w:val="20"/>
          <w:szCs w:val="20"/>
        </w:rPr>
        <w:t xml:space="preserve"> old</w:t>
      </w:r>
      <w:r w:rsidRPr="00922FEB">
        <w:rPr>
          <w:rFonts w:ascii="Candida-Roman" w:hAnsi="Candida-Roman"/>
          <w:color w:val="1B1C20"/>
          <w:sz w:val="20"/>
          <w:szCs w:val="20"/>
        </w:rPr>
        <w:br/>
        <w:t>cod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xml:space="preserve"> </w:t>
      </w:r>
    </w:p>
    <w:p w:rsidR="00922FEB" w:rsidRDefault="00922FEB">
      <w:pPr>
        <w:rPr>
          <w:rFonts w:ascii="Candida-Roman" w:hAnsi="Candida-Roman"/>
          <w:color w:val="1B1C20"/>
          <w:sz w:val="20"/>
          <w:szCs w:val="20"/>
        </w:rPr>
      </w:pPr>
    </w:p>
    <w:p w:rsidR="00922FEB" w:rsidRDefault="00922FEB">
      <w:pPr>
        <w:rPr>
          <w:rFonts w:ascii="Candida-Roman" w:hAnsi="Candida-Roman"/>
          <w:color w:val="1B1C20"/>
          <w:sz w:val="20"/>
          <w:szCs w:val="20"/>
        </w:rPr>
      </w:pPr>
      <w:r>
        <w:rPr>
          <w:rFonts w:ascii="Candida-Roman" w:hAnsi="Candida-Roman"/>
          <w:color w:val="1B1C20"/>
          <w:sz w:val="20"/>
          <w:szCs w:val="20"/>
        </w:rPr>
        <w:t xml:space="preserve">ADB notes: </w:t>
      </w:r>
    </w:p>
    <w:p w:rsidR="00922FEB" w:rsidRPr="00F81D7E" w:rsidRDefault="00922FEB"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cod’s secondary prey in the Barents Sea (</w:t>
      </w:r>
      <w:proofErr w:type="spellStart"/>
      <w:r>
        <w:rPr>
          <w:rFonts w:ascii="Candida-Roman" w:hAnsi="Candida-Roman"/>
          <w:color w:val="1B1C20"/>
          <w:sz w:val="20"/>
          <w:szCs w:val="20"/>
        </w:rPr>
        <w:t>pandalus</w:t>
      </w:r>
      <w:proofErr w:type="spellEnd"/>
      <w:r>
        <w:rPr>
          <w:rFonts w:ascii="Candida-Roman" w:hAnsi="Candida-Roman"/>
          <w:color w:val="1B1C20"/>
          <w:sz w:val="20"/>
          <w:szCs w:val="20"/>
        </w:rPr>
        <w:t xml:space="preserve"> borealis) stock was reduced by more than half when the reduced in weight </w:t>
      </w:r>
      <w:proofErr w:type="spellStart"/>
      <w:r>
        <w:rPr>
          <w:rFonts w:ascii="Candida-Roman" w:hAnsi="Candida-Roman"/>
          <w:color w:val="1B1C20"/>
          <w:sz w:val="20"/>
          <w:szCs w:val="20"/>
        </w:rPr>
        <w:t>aat</w:t>
      </w:r>
      <w:proofErr w:type="spellEnd"/>
      <w:r>
        <w:rPr>
          <w:rFonts w:ascii="Candida-Roman" w:hAnsi="Candida-Roman"/>
          <w:color w:val="1B1C20"/>
          <w:sz w:val="20"/>
          <w:szCs w:val="20"/>
        </w:rPr>
        <w:t xml:space="preserve"> age was observed</w:t>
      </w:r>
    </w:p>
    <w:p w:rsidR="00F81D7E" w:rsidRPr="004A405E" w:rsidRDefault="00F81D7E"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xml:space="preserve">: stock biomass of cod was virtually constant during the capelin collapse, if anything it was highest when capelin was lowest – therefore relative abundance of capelin saw a sharp decrease – as opposed to the case of the NL Shelf </w:t>
      </w:r>
    </w:p>
    <w:p w:rsidR="004A405E" w:rsidRPr="004A405E" w:rsidRDefault="004A405E"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figure 4: weights at age 1-7+. Why did Frank choose to mention ages 4-6?  drop in weight at age did not reach 2 kg</w:t>
      </w:r>
    </w:p>
    <w:p w:rsidR="004A405E" w:rsidRPr="004A405E"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4: about 500g</w:t>
      </w:r>
    </w:p>
    <w:p w:rsidR="004A405E" w:rsidRPr="004A405E"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5: about 1 kg</w:t>
      </w:r>
    </w:p>
    <w:p w:rsidR="004A405E" w:rsidRPr="00922FEB"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6: a bit more than 1 kg (but NOT 2 kg)</w:t>
      </w:r>
    </w:p>
    <w:p w:rsidR="00922FEB" w:rsidRPr="00922FEB" w:rsidRDefault="00922FEB" w:rsidP="00922FEB">
      <w:pPr>
        <w:pStyle w:val="ListParagraph"/>
        <w:numPr>
          <w:ilvl w:val="0"/>
          <w:numId w:val="1"/>
        </w:numPr>
        <w:rPr>
          <w:rFonts w:ascii="Candida-Bold" w:hAnsi="Candida-Bold"/>
          <w:bCs/>
          <w:color w:val="1B1C20"/>
          <w:sz w:val="20"/>
          <w:szCs w:val="20"/>
        </w:rPr>
      </w:pPr>
      <w:r>
        <w:rPr>
          <w:rFonts w:ascii="Candida-Roman" w:hAnsi="Candida-Roman"/>
          <w:color w:val="1B1C20"/>
          <w:sz w:val="20"/>
          <w:szCs w:val="20"/>
        </w:rPr>
        <w:t xml:space="preserve">Magnusson &amp; </w:t>
      </w:r>
      <w:proofErr w:type="spellStart"/>
      <w:r>
        <w:rPr>
          <w:rFonts w:ascii="Candida-Roman" w:hAnsi="Candida-Roman"/>
          <w:color w:val="1B1C20"/>
          <w:sz w:val="20"/>
          <w:szCs w:val="20"/>
        </w:rPr>
        <w:t>Palsson</w:t>
      </w:r>
      <w:proofErr w:type="spellEnd"/>
      <w:r>
        <w:rPr>
          <w:rFonts w:ascii="Candida-Roman" w:hAnsi="Candida-Roman"/>
          <w:color w:val="1B1C20"/>
          <w:sz w:val="20"/>
          <w:szCs w:val="20"/>
        </w:rPr>
        <w:t xml:space="preserve"> (1989): cod in Iceland had</w:t>
      </w:r>
    </w:p>
    <w:p w:rsidR="00922FEB" w:rsidRPr="00922FEB" w:rsidRDefault="00922FEB" w:rsidP="00922FEB">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 xml:space="preserve">Lower stomach contents - YES in </w:t>
      </w:r>
      <w:proofErr w:type="spellStart"/>
      <w:r>
        <w:rPr>
          <w:rFonts w:ascii="Candida-Roman" w:hAnsi="Candida-Roman"/>
          <w:color w:val="1B1C20"/>
          <w:sz w:val="20"/>
          <w:szCs w:val="20"/>
        </w:rPr>
        <w:t>nl</w:t>
      </w:r>
      <w:proofErr w:type="spellEnd"/>
      <w:r>
        <w:rPr>
          <w:rFonts w:ascii="Candida-Roman" w:hAnsi="Candida-Roman"/>
          <w:color w:val="1B1C20"/>
          <w:sz w:val="20"/>
          <w:szCs w:val="20"/>
        </w:rPr>
        <w:t xml:space="preserve"> (Morgan et al 2017)</w:t>
      </w:r>
    </w:p>
    <w:p w:rsidR="00922FEB" w:rsidRPr="00922FEB" w:rsidRDefault="00922FEB" w:rsidP="00922FEB">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 xml:space="preserve">Smaller growth rate - YES in </w:t>
      </w:r>
      <w:proofErr w:type="spellStart"/>
      <w:r>
        <w:rPr>
          <w:rFonts w:ascii="Candida-Roman" w:hAnsi="Candida-Roman"/>
          <w:color w:val="1B1C20"/>
          <w:sz w:val="20"/>
          <w:szCs w:val="20"/>
        </w:rPr>
        <w:t>nl</w:t>
      </w:r>
      <w:proofErr w:type="spellEnd"/>
      <w:r>
        <w:rPr>
          <w:rFonts w:ascii="Candida-Roman" w:hAnsi="Candida-Roman"/>
          <w:color w:val="1B1C20"/>
          <w:sz w:val="20"/>
          <w:szCs w:val="20"/>
        </w:rPr>
        <w:t xml:space="preserve"> (Morgan et al 2017)</w:t>
      </w:r>
    </w:p>
    <w:p w:rsidR="00922FEB" w:rsidRPr="00922FEB" w:rsidRDefault="00922FEB" w:rsidP="00922FEB">
      <w:pPr>
        <w:pStyle w:val="ListParagraph"/>
        <w:numPr>
          <w:ilvl w:val="1"/>
          <w:numId w:val="1"/>
        </w:numPr>
        <w:rPr>
          <w:rFonts w:ascii="Candida-Bold" w:hAnsi="Candida-Bold"/>
          <w:bCs/>
          <w:color w:val="1B1C20"/>
          <w:sz w:val="20"/>
          <w:szCs w:val="20"/>
        </w:rPr>
      </w:pPr>
      <w:r w:rsidRPr="00922FEB">
        <w:rPr>
          <w:rStyle w:val="fontstyle01"/>
          <w:b w:val="0"/>
        </w:rPr>
        <w:t xml:space="preserve">Reduced feeding level - </w:t>
      </w:r>
      <w:r w:rsidRPr="00922FEB">
        <w:rPr>
          <w:rFonts w:ascii="Candida-Roman" w:hAnsi="Candida-Roman"/>
          <w:color w:val="1B1C20"/>
          <w:sz w:val="20"/>
          <w:szCs w:val="20"/>
        </w:rPr>
        <w:t>?  in NL</w:t>
      </w:r>
    </w:p>
    <w:p w:rsidR="00922FEB" w:rsidRDefault="00922FEB" w:rsidP="00922FEB">
      <w:pPr>
        <w:ind w:left="720"/>
        <w:rPr>
          <w:rStyle w:val="fontstyle01"/>
          <w:b w:val="0"/>
        </w:rPr>
      </w:pPr>
      <w:proofErr w:type="gramStart"/>
      <w:r w:rsidRPr="00922FEB">
        <w:rPr>
          <w:rFonts w:ascii="Candida-Roman" w:hAnsi="Candida-Roman"/>
          <w:color w:val="1B1C20"/>
          <w:sz w:val="20"/>
          <w:szCs w:val="20"/>
        </w:rPr>
        <w:t>w</w:t>
      </w:r>
      <w:r w:rsidRPr="00922FEB">
        <w:rPr>
          <w:rStyle w:val="fontstyle01"/>
          <w:b w:val="0"/>
        </w:rPr>
        <w:t>hen</w:t>
      </w:r>
      <w:proofErr w:type="gramEnd"/>
      <w:r w:rsidRPr="00922FEB">
        <w:rPr>
          <w:rStyle w:val="fontstyle01"/>
          <w:b w:val="0"/>
        </w:rPr>
        <w:t xml:space="preserve"> capelin stock declined to low levels</w:t>
      </w:r>
    </w:p>
    <w:p w:rsidR="004A405E" w:rsidRDefault="004A405E" w:rsidP="00922FEB">
      <w:pPr>
        <w:ind w:left="720"/>
        <w:rPr>
          <w:rStyle w:val="fontstyle01"/>
          <w:b w:val="0"/>
        </w:rPr>
      </w:pPr>
    </w:p>
    <w:p w:rsidR="004A405E" w:rsidRPr="003C11A3" w:rsidRDefault="004A405E" w:rsidP="00D409EE">
      <w:pPr>
        <w:pStyle w:val="ListParagraph"/>
        <w:numPr>
          <w:ilvl w:val="0"/>
          <w:numId w:val="1"/>
        </w:numPr>
        <w:rPr>
          <w:rFonts w:ascii="Candida-Roman" w:hAnsi="Candida-Roman"/>
          <w:bCs/>
        </w:rPr>
      </w:pPr>
      <w:r w:rsidRPr="00D409EE">
        <w:rPr>
          <w:rFonts w:ascii="Candida-Roman" w:hAnsi="Candida-Roman"/>
          <w:color w:val="1B1C20"/>
          <w:sz w:val="20"/>
          <w:szCs w:val="20"/>
        </w:rPr>
        <w:t>From Lilly</w:t>
      </w:r>
      <w:r w:rsidR="004E7CB0">
        <w:rPr>
          <w:rFonts w:ascii="Candida-Roman" w:hAnsi="Candida-Roman"/>
          <w:color w:val="1B1C20"/>
          <w:sz w:val="20"/>
          <w:szCs w:val="20"/>
        </w:rPr>
        <w:t xml:space="preserve"> 1987</w:t>
      </w:r>
      <w:r w:rsidRPr="00D409EE">
        <w:rPr>
          <w:rFonts w:ascii="Candida-Roman" w:hAnsi="Candida-Roman"/>
          <w:color w:val="1B1C20"/>
          <w:sz w:val="20"/>
          <w:szCs w:val="20"/>
        </w:rPr>
        <w:t>: Predation by cod on capelin is not as seasonal in Div. 3L as it is to the north. Cod on the northern slopes of Grand Bank feed on capelin in winter (</w:t>
      </w:r>
      <w:proofErr w:type="spellStart"/>
      <w:r w:rsidRPr="00D409EE">
        <w:rPr>
          <w:rFonts w:ascii="Candida-Roman" w:hAnsi="Candida-Roman"/>
          <w:color w:val="1B1C20"/>
          <w:sz w:val="20"/>
          <w:szCs w:val="20"/>
        </w:rPr>
        <w:t>Templeman</w:t>
      </w:r>
      <w:proofErr w:type="spellEnd"/>
      <w:r w:rsidRPr="00D409EE">
        <w:rPr>
          <w:rFonts w:ascii="Candida-Roman" w:hAnsi="Candida-Roman"/>
          <w:color w:val="1B1C20"/>
          <w:sz w:val="20"/>
          <w:szCs w:val="20"/>
        </w:rPr>
        <w:t xml:space="preserve"> 1965;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w:t>
      </w:r>
      <w:proofErr w:type="spellStart"/>
      <w:r w:rsidRPr="00D409EE">
        <w:rPr>
          <w:rFonts w:ascii="Candida-Roman" w:hAnsi="Candida-Roman"/>
          <w:color w:val="1B1C20"/>
          <w:sz w:val="20"/>
          <w:szCs w:val="20"/>
        </w:rPr>
        <w:t>Minet</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Perodou</w:t>
      </w:r>
      <w:proofErr w:type="spellEnd"/>
      <w:r w:rsidRPr="00D409EE">
        <w:rPr>
          <w:rFonts w:ascii="Candida-Roman" w:hAnsi="Candida-Roman"/>
          <w:color w:val="1B1C20"/>
          <w:sz w:val="20"/>
          <w:szCs w:val="20"/>
        </w:rPr>
        <w:t xml:space="preserve"> 1978; Lilly et ale 1984), and partial fullness indices can be very high (Lilly and Fleming 1981). Cod also feed on capelin in various parts of the Avalon Channel and the northern, western, and central Grand Bank in spring and summer (Popova 1962;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w:t>
      </w:r>
      <w:proofErr w:type="spellStart"/>
      <w:r w:rsidRPr="00D409EE">
        <w:rPr>
          <w:rFonts w:ascii="Candida-Roman" w:hAnsi="Candida-Roman"/>
          <w:color w:val="1B1C20"/>
          <w:sz w:val="20"/>
          <w:szCs w:val="20"/>
        </w:rPr>
        <w:t>Kovalyov</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Kudrin</w:t>
      </w:r>
      <w:proofErr w:type="spellEnd"/>
      <w:r w:rsidRPr="00D409EE">
        <w:rPr>
          <w:rFonts w:ascii="Candida-Roman" w:hAnsi="Candida-Roman"/>
          <w:color w:val="1B1C20"/>
          <w:sz w:val="20"/>
          <w:szCs w:val="20"/>
        </w:rPr>
        <w:t xml:space="preserve"> 1973; </w:t>
      </w:r>
      <w:proofErr w:type="spellStart"/>
      <w:r w:rsidRPr="00D409EE">
        <w:rPr>
          <w:rFonts w:ascii="Candida-Roman" w:hAnsi="Candida-Roman"/>
          <w:color w:val="1B1C20"/>
          <w:sz w:val="20"/>
          <w:szCs w:val="20"/>
        </w:rPr>
        <w:t>Stanek</w:t>
      </w:r>
      <w:proofErr w:type="spellEnd"/>
      <w:r w:rsidRPr="00D409EE">
        <w:rPr>
          <w:rFonts w:ascii="Candida-Roman" w:hAnsi="Candida-Roman"/>
          <w:color w:val="1B1C20"/>
          <w:sz w:val="20"/>
          <w:szCs w:val="20"/>
        </w:rPr>
        <w:t xml:space="preserve"> 1975; </w:t>
      </w:r>
      <w:proofErr w:type="spellStart"/>
      <w:r w:rsidRPr="00D409EE">
        <w:rPr>
          <w:rFonts w:ascii="Candida-Roman" w:hAnsi="Candida-Roman"/>
          <w:color w:val="1B1C20"/>
          <w:sz w:val="20"/>
          <w:szCs w:val="20"/>
        </w:rPr>
        <w:t>Minet</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Perodou</w:t>
      </w:r>
      <w:proofErr w:type="spellEnd"/>
      <w:r w:rsidRPr="00D409EE">
        <w:rPr>
          <w:rFonts w:ascii="Candida-Roman" w:hAnsi="Candida-Roman"/>
          <w:color w:val="1B1C20"/>
          <w:sz w:val="20"/>
          <w:szCs w:val="20"/>
        </w:rPr>
        <w:t xml:space="preserve"> 1~78; Lilly and Fleming 1981). Predation on capelin also occurs in autumn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but there has been less study at that season.</w:t>
      </w:r>
    </w:p>
    <w:p w:rsidR="00320FFA" w:rsidRPr="00FE7992" w:rsidRDefault="003C11A3" w:rsidP="00320FFA">
      <w:pPr>
        <w:pStyle w:val="ListParagraph"/>
        <w:numPr>
          <w:ilvl w:val="0"/>
          <w:numId w:val="1"/>
        </w:numPr>
        <w:rPr>
          <w:lang w:val="en-US"/>
        </w:rPr>
      </w:pPr>
      <w:r w:rsidRPr="003C11A3">
        <w:rPr>
          <w:rFonts w:ascii="TimesNewRomanPSMT" w:hAnsi="TimesNewRomanPSMT"/>
          <w:color w:val="000000"/>
          <w:sz w:val="20"/>
          <w:szCs w:val="20"/>
        </w:rPr>
        <w:t xml:space="preserve">The term “northern cod” is used in reference to a complex of cod populations </w:t>
      </w:r>
      <w:bookmarkStart w:id="0" w:name="_GoBack"/>
      <w:bookmarkEnd w:id="0"/>
    </w:p>
    <w:p w:rsidR="00284FC9" w:rsidRPr="00FE7992" w:rsidRDefault="00284FC9">
      <w:pPr>
        <w:rPr>
          <w:lang w:val="en-US"/>
        </w:rPr>
      </w:pPr>
    </w:p>
    <w:sectPr w:rsidR="00284FC9" w:rsidRPr="00FE7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ida-Roma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id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298"/>
    <w:multiLevelType w:val="hybridMultilevel"/>
    <w:tmpl w:val="6B32F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8D06E68"/>
    <w:multiLevelType w:val="hybridMultilevel"/>
    <w:tmpl w:val="DAE62D3A"/>
    <w:lvl w:ilvl="0" w:tplc="4E546194">
      <w:start w:val="1"/>
      <w:numFmt w:val="decimal"/>
      <w:lvlText w:val="%1."/>
      <w:lvlJc w:val="left"/>
      <w:pPr>
        <w:ind w:left="720" w:hanging="360"/>
      </w:pPr>
      <w:rPr>
        <w:rFonts w:ascii="Candida-Roman" w:hAnsi="Candida-Roman"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911&lt;/item&gt;&lt;/record-ids&gt;&lt;/item&gt;&lt;/Libraries&gt;"/>
  </w:docVars>
  <w:rsids>
    <w:rsidRoot w:val="00FE7992"/>
    <w:rsid w:val="0000034E"/>
    <w:rsid w:val="00014966"/>
    <w:rsid w:val="000C4844"/>
    <w:rsid w:val="00200135"/>
    <w:rsid w:val="00284FC9"/>
    <w:rsid w:val="00320FFA"/>
    <w:rsid w:val="003C11A3"/>
    <w:rsid w:val="00417B09"/>
    <w:rsid w:val="004A405E"/>
    <w:rsid w:val="004E7CB0"/>
    <w:rsid w:val="00774478"/>
    <w:rsid w:val="007A71A0"/>
    <w:rsid w:val="00922FEB"/>
    <w:rsid w:val="00967EFC"/>
    <w:rsid w:val="00A23BEE"/>
    <w:rsid w:val="00B51A8E"/>
    <w:rsid w:val="00CB4ABD"/>
    <w:rsid w:val="00D409EE"/>
    <w:rsid w:val="00D72E8E"/>
    <w:rsid w:val="00F00BFB"/>
    <w:rsid w:val="00F81D50"/>
    <w:rsid w:val="00F81D7E"/>
    <w:rsid w:val="00FD17F5"/>
    <w:rsid w:val="00FE7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0072">
      <w:bodyDiv w:val="1"/>
      <w:marLeft w:val="0"/>
      <w:marRight w:val="0"/>
      <w:marTop w:val="0"/>
      <w:marBottom w:val="0"/>
      <w:divBdr>
        <w:top w:val="none" w:sz="0" w:space="0" w:color="auto"/>
        <w:left w:val="none" w:sz="0" w:space="0" w:color="auto"/>
        <w:bottom w:val="none" w:sz="0" w:space="0" w:color="auto"/>
        <w:right w:val="none" w:sz="0" w:space="0" w:color="auto"/>
      </w:divBdr>
    </w:div>
    <w:div w:id="12840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12</cp:revision>
  <cp:lastPrinted>2018-02-01T17:03:00Z</cp:lastPrinted>
  <dcterms:created xsi:type="dcterms:W3CDTF">2018-01-18T15:47:00Z</dcterms:created>
  <dcterms:modified xsi:type="dcterms:W3CDTF">2018-02-07T19:07:00Z</dcterms:modified>
</cp:coreProperties>
</file>