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9B" w:rsidRDefault="00B65291">
      <w:r>
        <w:t>Frank et al 2016</w:t>
      </w:r>
    </w:p>
    <w:p w:rsidR="00B65291" w:rsidRDefault="00B65291"/>
    <w:p w:rsidR="00B65291" w:rsidRDefault="00B65291">
      <w:r>
        <w:t xml:space="preserve">Hypotheses: </w:t>
      </w:r>
    </w:p>
    <w:p w:rsidR="00CD2163" w:rsidRPr="00B65291" w:rsidRDefault="00DC7857" w:rsidP="00B65291">
      <w:pPr>
        <w:numPr>
          <w:ilvl w:val="0"/>
          <w:numId w:val="1"/>
        </w:numPr>
      </w:pPr>
      <w:r w:rsidRPr="00B65291">
        <w:rPr>
          <w:lang w:val="en-US"/>
        </w:rPr>
        <w:t xml:space="preserve">Changes in the </w:t>
      </w:r>
      <w:r w:rsidRPr="00B65291">
        <w:rPr>
          <w:b/>
          <w:bCs/>
          <w:lang w:val="en-US"/>
        </w:rPr>
        <w:t>timing of life cycle events</w:t>
      </w:r>
      <w:r w:rsidRPr="00B65291">
        <w:rPr>
          <w:lang w:val="en-US"/>
        </w:rPr>
        <w:br/>
        <w:t>(i.e., changes in timing of spawning which led to a spatiotemporal disconnect between timing of survey and arrival of spawning capelin)</w:t>
      </w:r>
    </w:p>
    <w:p w:rsidR="00CD2163" w:rsidRPr="00B65291" w:rsidRDefault="00DC7857" w:rsidP="00B65291">
      <w:pPr>
        <w:numPr>
          <w:ilvl w:val="0"/>
          <w:numId w:val="1"/>
        </w:numPr>
      </w:pPr>
      <w:r w:rsidRPr="00B65291">
        <w:rPr>
          <w:lang w:val="en-US"/>
        </w:rPr>
        <w:t xml:space="preserve">Shifts in the </w:t>
      </w:r>
      <w:proofErr w:type="spellStart"/>
      <w:r w:rsidRPr="00B65291">
        <w:rPr>
          <w:lang w:val="en-US"/>
        </w:rPr>
        <w:t>behaviour</w:t>
      </w:r>
      <w:proofErr w:type="spellEnd"/>
      <w:r w:rsidRPr="00B65291">
        <w:rPr>
          <w:lang w:val="en-US"/>
        </w:rPr>
        <w:t xml:space="preserve"> of capelin from a highly migratory stock to one that has become predominantly </w:t>
      </w:r>
      <w:r w:rsidRPr="00B65291">
        <w:rPr>
          <w:b/>
          <w:bCs/>
          <w:lang w:val="en-US"/>
        </w:rPr>
        <w:t>non-migratory</w:t>
      </w:r>
      <w:r w:rsidRPr="00B65291">
        <w:rPr>
          <w:lang w:val="en-US"/>
        </w:rPr>
        <w:t xml:space="preserve"> </w:t>
      </w:r>
      <w:r w:rsidRPr="00B65291">
        <w:rPr>
          <w:lang w:val="en-US"/>
        </w:rPr>
        <w:br/>
        <w:t>(i.e. capelin stays inshore year-round, which benefit predators that normally inhabit coastal zones (</w:t>
      </w:r>
      <w:proofErr w:type="spellStart"/>
      <w:r w:rsidRPr="00B65291">
        <w:rPr>
          <w:lang w:val="en-US"/>
        </w:rPr>
        <w:t>murres</w:t>
      </w:r>
      <w:proofErr w:type="spellEnd"/>
      <w:r w:rsidRPr="00B65291">
        <w:rPr>
          <w:lang w:val="en-US"/>
        </w:rPr>
        <w:t>, gannets))</w:t>
      </w:r>
    </w:p>
    <w:p w:rsidR="00B65291" w:rsidRDefault="00B65291"/>
    <w:p w:rsidR="00B65291" w:rsidRDefault="00B65291">
      <w:r>
        <w:t>Evidence for the non-collapse:</w:t>
      </w:r>
    </w:p>
    <w:p w:rsidR="00B65291" w:rsidRPr="00B65291" w:rsidRDefault="00B65291" w:rsidP="00B65291">
      <w:r w:rsidRPr="00B65291">
        <w:rPr>
          <w:lang w:val="en-US"/>
        </w:rPr>
        <w:t>Analyses of NL ecosystem prior to, during and after reported decline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distribution</w:t>
      </w:r>
    </w:p>
    <w:p w:rsidR="00CD2163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t>Acoustic surveys</w:t>
      </w:r>
      <w:r w:rsidR="00B65291">
        <w:rPr>
          <w:lang w:val="en-US"/>
        </w:rPr>
        <w:t>: fish did not migrate offshore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FRAN</w:t>
      </w:r>
    </w:p>
    <w:p w:rsidR="00CD2163" w:rsidRPr="00B65291" w:rsidRDefault="00DC7857" w:rsidP="00B65291">
      <w:pPr>
        <w:numPr>
          <w:ilvl w:val="2"/>
          <w:numId w:val="2"/>
        </w:numPr>
      </w:pPr>
      <w:proofErr w:type="gramStart"/>
      <w:r w:rsidRPr="00B65291">
        <w:rPr>
          <w:u w:val="single"/>
          <w:lang w:val="en-US"/>
        </w:rPr>
        <w:t>bottom</w:t>
      </w:r>
      <w:proofErr w:type="gramEnd"/>
      <w:r w:rsidRPr="00B65291">
        <w:rPr>
          <w:u w:val="single"/>
          <w:lang w:val="en-US"/>
        </w:rPr>
        <w:t xml:space="preserve"> trawl surveys</w:t>
      </w:r>
      <w:r w:rsidR="00B65291" w:rsidRPr="00B65291">
        <w:rPr>
          <w:lang w:val="en-US"/>
        </w:rPr>
        <w:t xml:space="preserve">: expected smaller area of occupancy. Used Engels and </w:t>
      </w:r>
      <w:proofErr w:type="spellStart"/>
      <w:r w:rsidR="00B65291" w:rsidRPr="00B65291">
        <w:rPr>
          <w:lang w:val="en-US"/>
        </w:rPr>
        <w:t>Campelen</w:t>
      </w:r>
      <w:proofErr w:type="spellEnd"/>
      <w:r w:rsidR="00B65291" w:rsidRPr="00B65291">
        <w:rPr>
          <w:lang w:val="en-US"/>
        </w:rPr>
        <w:t>.</w:t>
      </w:r>
      <w:r w:rsidR="00FB71BD">
        <w:rPr>
          <w:lang w:val="en-US"/>
        </w:rPr>
        <w:t xml:space="preserve"> Capelin in ESS and Flemish Cap. </w:t>
      </w:r>
      <w:r w:rsidR="00FB71BD" w:rsidRPr="00FB71BD">
        <w:rPr>
          <w:highlight w:val="yellow"/>
          <w:lang w:val="en-US"/>
        </w:rPr>
        <w:t>FRAN, DIVYA, AARON</w:t>
      </w:r>
    </w:p>
    <w:p w:rsidR="00CD2163" w:rsidRPr="00FB71BD" w:rsidRDefault="00DC7857" w:rsidP="00B65291">
      <w:pPr>
        <w:numPr>
          <w:ilvl w:val="2"/>
          <w:numId w:val="2"/>
        </w:numPr>
        <w:rPr>
          <w:highlight w:val="yellow"/>
        </w:rPr>
      </w:pPr>
      <w:r w:rsidRPr="00B65291">
        <w:rPr>
          <w:u w:val="single"/>
          <w:lang w:val="en-US"/>
        </w:rPr>
        <w:t>Depth distribution</w:t>
      </w:r>
      <w:r w:rsidR="00B65291">
        <w:rPr>
          <w:lang w:val="en-US"/>
        </w:rPr>
        <w:t>: description of patterns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FRAN</w:t>
      </w:r>
    </w:p>
    <w:p w:rsidR="00CD2163" w:rsidRPr="00B65291" w:rsidRDefault="00DC7857" w:rsidP="00B65291">
      <w:pPr>
        <w:numPr>
          <w:ilvl w:val="1"/>
          <w:numId w:val="2"/>
        </w:numPr>
      </w:pPr>
      <w:r w:rsidRPr="00B65291">
        <w:rPr>
          <w:u w:val="single"/>
          <w:lang w:val="en-US"/>
        </w:rPr>
        <w:t>Capelin residence time</w:t>
      </w:r>
      <w:r w:rsidR="00B65291">
        <w:rPr>
          <w:lang w:val="en-US"/>
        </w:rPr>
        <w:t>: if timing of migration didn’t change, length of survey is adequate for capturing biomass of migrating fish</w:t>
      </w:r>
      <w:r w:rsidR="00FB71BD">
        <w:rPr>
          <w:lang w:val="en-US"/>
        </w:rPr>
        <w:t xml:space="preserve"> </w:t>
      </w:r>
      <w:r w:rsidR="00B83272">
        <w:rPr>
          <w:highlight w:val="yellow"/>
          <w:lang w:val="en-US"/>
        </w:rPr>
        <w:t>FRAN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Inshore capelin indices</w:t>
      </w:r>
      <w:r w:rsidR="00B65291" w:rsidRPr="00B65291">
        <w:rPr>
          <w:lang w:val="en-US"/>
        </w:rPr>
        <w:t xml:space="preserve"> </w:t>
      </w:r>
      <w:proofErr w:type="spellStart"/>
      <w:r w:rsidR="00B65291" w:rsidRPr="00B65291">
        <w:rPr>
          <w:lang w:val="en-US"/>
        </w:rPr>
        <w:t>indices</w:t>
      </w:r>
      <w:proofErr w:type="spellEnd"/>
      <w:r w:rsidR="00B65291" w:rsidRPr="00B65291">
        <w:rPr>
          <w:lang w:val="en-US"/>
        </w:rPr>
        <w:t xml:space="preserve"> </w:t>
      </w:r>
      <w:r w:rsidR="00B65291">
        <w:rPr>
          <w:lang w:val="en-US"/>
        </w:rPr>
        <w:t xml:space="preserve">from </w:t>
      </w:r>
      <w:r w:rsidR="00B65291" w:rsidRPr="00B65291">
        <w:rPr>
          <w:lang w:val="en-US"/>
        </w:rPr>
        <w:t xml:space="preserve">aerial </w:t>
      </w:r>
      <w:r w:rsidR="00B65291">
        <w:rPr>
          <w:lang w:val="en-US"/>
        </w:rPr>
        <w:t>surveys and commercial catch rates (inshore traps) increased through 1980s and 1990s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HANNAH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demographic changes</w:t>
      </w:r>
      <w:r w:rsidR="00B65291">
        <w:rPr>
          <w:u w:val="single"/>
          <w:lang w:val="en-US"/>
        </w:rPr>
        <w:t xml:space="preserve"> from harvest </w:t>
      </w:r>
      <w:r w:rsidR="00B65291">
        <w:rPr>
          <w:lang w:val="en-US"/>
        </w:rPr>
        <w:t>age and length declined in 1991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AARON</w:t>
      </w:r>
    </w:p>
    <w:p w:rsidR="00B65291" w:rsidRPr="00FB71BD" w:rsidRDefault="00B65291" w:rsidP="00B65291">
      <w:pPr>
        <w:numPr>
          <w:ilvl w:val="1"/>
          <w:numId w:val="2"/>
        </w:numPr>
        <w:rPr>
          <w:highlight w:val="yellow"/>
          <w:u w:val="single"/>
        </w:rPr>
      </w:pPr>
      <w:r>
        <w:rPr>
          <w:u w:val="single"/>
          <w:lang w:val="en-US"/>
        </w:rPr>
        <w:t xml:space="preserve">Timing of inshore spawning: </w:t>
      </w:r>
      <w:r w:rsidRPr="00B65291">
        <w:rPr>
          <w:lang w:val="en-US"/>
        </w:rPr>
        <w:t xml:space="preserve">Trinity Bay. </w:t>
      </w:r>
      <w:r>
        <w:rPr>
          <w:lang w:val="en-US"/>
        </w:rPr>
        <w:t>Peak spawning 25 days later. Therefore survey might have been too early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HANNAH, DOM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recruitment</w:t>
      </w:r>
      <w:r w:rsidR="00B65291">
        <w:rPr>
          <w:u w:val="single"/>
          <w:lang w:val="en-US"/>
        </w:rPr>
        <w:t xml:space="preserve"> </w:t>
      </w:r>
      <w:r w:rsidR="00B65291" w:rsidRPr="00B65291">
        <w:rPr>
          <w:lang w:val="en-US"/>
        </w:rPr>
        <w:t>Trinity Bay larval production did not change post 1991. Therefore it is inconsistent with capelin collapse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HANNAH, DOM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Ecosystem response</w:t>
      </w:r>
    </w:p>
    <w:p w:rsidR="00CD2163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lastRenderedPageBreak/>
        <w:t xml:space="preserve">Cod weight at age and </w:t>
      </w:r>
      <w:proofErr w:type="gramStart"/>
      <w:r w:rsidRPr="00B65291">
        <w:rPr>
          <w:u w:val="single"/>
          <w:lang w:val="en-US"/>
        </w:rPr>
        <w:t>condition</w:t>
      </w:r>
      <w:r w:rsidR="00B65291" w:rsidRPr="00B65291">
        <w:rPr>
          <w:lang w:val="en-US"/>
        </w:rPr>
        <w:t xml:space="preserve">  Latitudinal</w:t>
      </w:r>
      <w:proofErr w:type="gramEnd"/>
      <w:r w:rsidR="00B65291" w:rsidRPr="00B65291">
        <w:rPr>
          <w:lang w:val="en-US"/>
        </w:rPr>
        <w:t xml:space="preserve"> differences (2J, 3K, 3L) in liver condition and weight at age. Weight at age of </w:t>
      </w:r>
      <w:proofErr w:type="spellStart"/>
      <w:r w:rsidR="00B65291" w:rsidRPr="00B65291">
        <w:rPr>
          <w:lang w:val="en-US"/>
        </w:rPr>
        <w:t>Div</w:t>
      </w:r>
      <w:proofErr w:type="spellEnd"/>
      <w:r w:rsidR="00B65291" w:rsidRPr="00B65291">
        <w:rPr>
          <w:lang w:val="en-US"/>
        </w:rPr>
        <w:t xml:space="preserve"> 3L 3-4 </w:t>
      </w:r>
      <w:proofErr w:type="spellStart"/>
      <w:r w:rsidR="00B65291" w:rsidRPr="00B65291">
        <w:rPr>
          <w:lang w:val="en-US"/>
        </w:rPr>
        <w:t>yr</w:t>
      </w:r>
      <w:proofErr w:type="spellEnd"/>
      <w:r w:rsidR="00B65291" w:rsidRPr="00B65291">
        <w:rPr>
          <w:lang w:val="en-US"/>
        </w:rPr>
        <w:t xml:space="preserve"> old cod increased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MARIANO, ALE</w:t>
      </w:r>
    </w:p>
    <w:p w:rsidR="00CD2163" w:rsidRPr="00FB71BD" w:rsidRDefault="00DC7857" w:rsidP="00B65291">
      <w:pPr>
        <w:numPr>
          <w:ilvl w:val="2"/>
          <w:numId w:val="2"/>
        </w:numPr>
        <w:rPr>
          <w:highlight w:val="yellow"/>
        </w:rPr>
      </w:pPr>
      <w:r w:rsidRPr="00B65291">
        <w:rPr>
          <w:u w:val="single"/>
          <w:lang w:val="en-US"/>
        </w:rPr>
        <w:t>Harp seal population trends and diet</w:t>
      </w:r>
      <w:r w:rsidR="00B65291">
        <w:rPr>
          <w:u w:val="single"/>
          <w:lang w:val="en-US"/>
        </w:rPr>
        <w:t xml:space="preserve"> </w:t>
      </w:r>
      <w:r w:rsidR="00B65291" w:rsidRPr="00B65291">
        <w:rPr>
          <w:lang w:val="en-US"/>
        </w:rPr>
        <w:t>population growth did not stop or slow down. Estimate of capelin consumption model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GARRY</w:t>
      </w:r>
      <w:r w:rsidR="00FB71BD">
        <w:rPr>
          <w:highlight w:val="yellow"/>
          <w:lang w:val="en-US"/>
        </w:rPr>
        <w:t>, ALE</w:t>
      </w:r>
    </w:p>
    <w:p w:rsidR="00BC300A" w:rsidRPr="00BC300A" w:rsidRDefault="00DC7857" w:rsidP="00B65291">
      <w:pPr>
        <w:numPr>
          <w:ilvl w:val="2"/>
          <w:numId w:val="2"/>
        </w:numPr>
        <w:rPr>
          <w:u w:val="single"/>
        </w:rPr>
      </w:pPr>
      <w:r w:rsidRPr="00B65291">
        <w:rPr>
          <w:u w:val="single"/>
          <w:lang w:val="en-US"/>
        </w:rPr>
        <w:t xml:space="preserve">Seabird population </w:t>
      </w:r>
      <w:proofErr w:type="gramStart"/>
      <w:r w:rsidRPr="00B65291">
        <w:rPr>
          <w:u w:val="single"/>
          <w:lang w:val="en-US"/>
        </w:rPr>
        <w:t>trends</w:t>
      </w:r>
      <w:r w:rsidR="00B65291" w:rsidRPr="00B65291">
        <w:rPr>
          <w:lang w:val="en-US"/>
        </w:rPr>
        <w:t xml:space="preserve"> </w:t>
      </w:r>
      <w:r w:rsidR="00B65291">
        <w:rPr>
          <w:lang w:val="en-US"/>
        </w:rPr>
        <w:t xml:space="preserve"> </w:t>
      </w:r>
      <w:r w:rsidR="00B65291" w:rsidRPr="00B65291">
        <w:rPr>
          <w:lang w:val="en-US"/>
        </w:rPr>
        <w:t>*</w:t>
      </w:r>
      <w:proofErr w:type="gramEnd"/>
      <w:r w:rsidR="00B65291" w:rsidRPr="00B65291">
        <w:rPr>
          <w:lang w:val="en-US"/>
        </w:rPr>
        <w:t xml:space="preserve"> </w:t>
      </w:r>
      <w:proofErr w:type="spellStart"/>
      <w:r w:rsidR="00B65291" w:rsidRPr="00B65291">
        <w:rPr>
          <w:lang w:val="en-US"/>
        </w:rPr>
        <w:t>mu</w:t>
      </w:r>
      <w:r w:rsidR="00B65291">
        <w:rPr>
          <w:lang w:val="en-US"/>
        </w:rPr>
        <w:t>r</w:t>
      </w:r>
      <w:r w:rsidR="00B65291" w:rsidRPr="00B65291">
        <w:rPr>
          <w:lang w:val="en-US"/>
        </w:rPr>
        <w:t>res</w:t>
      </w:r>
      <w:proofErr w:type="spellEnd"/>
      <w:r w:rsidR="00B65291">
        <w:rPr>
          <w:lang w:val="en-US"/>
        </w:rPr>
        <w:t>: increased from 10k to 100k (Funk). Capelin dominated diet</w:t>
      </w:r>
      <w:r w:rsidR="00FB71BD">
        <w:rPr>
          <w:lang w:val="en-US"/>
        </w:rPr>
        <w:t xml:space="preserve"> </w:t>
      </w:r>
    </w:p>
    <w:p w:rsidR="002E4B74" w:rsidRPr="00180B02" w:rsidRDefault="00BC300A" w:rsidP="0054724C">
      <w:pPr>
        <w:ind w:left="2160"/>
        <w:rPr>
          <w:color w:val="FF0000"/>
          <w:lang w:val="en-US"/>
        </w:rPr>
      </w:pPr>
      <w:bookmarkStart w:id="0" w:name="_GoBack"/>
      <w:r w:rsidRPr="00180B02">
        <w:rPr>
          <w:color w:val="FF0000"/>
          <w:lang w:val="en-US"/>
        </w:rPr>
        <w:t>Frank et al (2016; Figure 11B)</w:t>
      </w:r>
      <w:r w:rsidR="006C59DB" w:rsidRPr="00180B02">
        <w:rPr>
          <w:color w:val="FF0000"/>
          <w:lang w:val="en-US"/>
        </w:rPr>
        <w:t xml:space="preserve"> consider the population of common </w:t>
      </w:r>
      <w:proofErr w:type="spellStart"/>
      <w:r w:rsidR="006C59DB" w:rsidRPr="00180B02">
        <w:rPr>
          <w:color w:val="FF0000"/>
          <w:lang w:val="en-US"/>
        </w:rPr>
        <w:t>murres</w:t>
      </w:r>
      <w:proofErr w:type="spellEnd"/>
      <w:r w:rsidR="006C59DB" w:rsidRPr="00180B02">
        <w:rPr>
          <w:color w:val="FF0000"/>
          <w:lang w:val="en-US"/>
        </w:rPr>
        <w:t xml:space="preserve"> </w:t>
      </w:r>
      <w:proofErr w:type="spellStart"/>
      <w:r w:rsidR="00E12444" w:rsidRPr="00180B02">
        <w:rPr>
          <w:i/>
          <w:color w:val="FF0000"/>
          <w:lang w:val="en-US"/>
        </w:rPr>
        <w:t>Uria</w:t>
      </w:r>
      <w:proofErr w:type="spellEnd"/>
      <w:r w:rsidR="00E12444" w:rsidRPr="00180B02">
        <w:rPr>
          <w:i/>
          <w:color w:val="FF0000"/>
          <w:lang w:val="en-US"/>
        </w:rPr>
        <w:t xml:space="preserve"> </w:t>
      </w:r>
      <w:proofErr w:type="spellStart"/>
      <w:r w:rsidR="00E12444" w:rsidRPr="00180B02">
        <w:rPr>
          <w:i/>
          <w:color w:val="FF0000"/>
          <w:lang w:val="en-US"/>
        </w:rPr>
        <w:t>aalge</w:t>
      </w:r>
      <w:proofErr w:type="spellEnd"/>
      <w:r w:rsidR="00E12444" w:rsidRPr="00180B02">
        <w:rPr>
          <w:color w:val="FF0000"/>
          <w:lang w:val="en-US"/>
        </w:rPr>
        <w:t xml:space="preserve"> </w:t>
      </w:r>
      <w:r w:rsidR="006C59DB" w:rsidRPr="00180B02">
        <w:rPr>
          <w:color w:val="FF0000"/>
          <w:lang w:val="en-US"/>
        </w:rPr>
        <w:t xml:space="preserve">on Funk Island since 1990 is contrary to expectation given the purported order of magnitude decrease in their primary prey (Montevecchi 2000; </w:t>
      </w:r>
      <w:proofErr w:type="spellStart"/>
      <w:r w:rsidR="006C59DB" w:rsidRPr="00180B02">
        <w:rPr>
          <w:color w:val="FF0000"/>
          <w:lang w:val="en-US"/>
        </w:rPr>
        <w:t>Davoren</w:t>
      </w:r>
      <w:proofErr w:type="spellEnd"/>
      <w:r w:rsidR="006C59DB" w:rsidRPr="00180B02">
        <w:rPr>
          <w:color w:val="FF0000"/>
          <w:lang w:val="en-US"/>
        </w:rPr>
        <w:t xml:space="preserve"> and Montevecchi 2003</w:t>
      </w:r>
      <w:r w:rsidR="006C59DB" w:rsidRPr="00180B02">
        <w:rPr>
          <w:color w:val="FF0000"/>
          <w:lang w:val="en-US"/>
        </w:rPr>
        <w:t xml:space="preserve">).  In doing so, Franks et al. (2016) </w:t>
      </w:r>
      <w:r w:rsidRPr="00180B02">
        <w:rPr>
          <w:color w:val="FF0000"/>
          <w:lang w:val="en-US"/>
        </w:rPr>
        <w:t xml:space="preserve">misinterpreted the </w:t>
      </w:r>
      <w:proofErr w:type="spellStart"/>
      <w:r w:rsidRPr="00180B02">
        <w:rPr>
          <w:color w:val="FF0000"/>
          <w:lang w:val="en-US"/>
        </w:rPr>
        <w:t>murre</w:t>
      </w:r>
      <w:proofErr w:type="spellEnd"/>
      <w:r w:rsidRPr="00180B02">
        <w:rPr>
          <w:color w:val="FF0000"/>
          <w:lang w:val="en-US"/>
        </w:rPr>
        <w:t xml:space="preserve"> abundance graph from </w:t>
      </w:r>
      <w:r w:rsidR="000E4353" w:rsidRPr="00180B02">
        <w:rPr>
          <w:color w:val="FF0000"/>
          <w:lang w:val="en-US"/>
        </w:rPr>
        <w:t xml:space="preserve">Figure 3 in </w:t>
      </w:r>
      <w:proofErr w:type="spellStart"/>
      <w:r w:rsidRPr="00180B02">
        <w:rPr>
          <w:color w:val="FF0000"/>
          <w:lang w:val="en-US"/>
        </w:rPr>
        <w:t>Davoren</w:t>
      </w:r>
      <w:proofErr w:type="spellEnd"/>
      <w:r w:rsidRPr="00180B02">
        <w:rPr>
          <w:color w:val="FF0000"/>
          <w:lang w:val="en-US"/>
        </w:rPr>
        <w:t xml:space="preserve"> and Montevecchi (2003)</w:t>
      </w:r>
      <w:r w:rsidR="000E4353" w:rsidRPr="00180B02">
        <w:rPr>
          <w:color w:val="FF0000"/>
          <w:lang w:val="en-US"/>
        </w:rPr>
        <w:t xml:space="preserve"> as an indication of population increase</w:t>
      </w:r>
      <w:r w:rsidRPr="00180B02">
        <w:rPr>
          <w:color w:val="FF0000"/>
          <w:lang w:val="en-US"/>
        </w:rPr>
        <w:t xml:space="preserve"> on Funk Island </w:t>
      </w:r>
      <w:r w:rsidRPr="00180B02">
        <w:rPr>
          <w:color w:val="FF0000"/>
          <w:lang w:val="en-US"/>
        </w:rPr>
        <w:t>(mislabeled as Fogo Island in Fig</w:t>
      </w:r>
      <w:r w:rsidRPr="00180B02">
        <w:rPr>
          <w:color w:val="FF0000"/>
          <w:lang w:val="en-US"/>
        </w:rPr>
        <w:t>ure</w:t>
      </w:r>
      <w:r w:rsidRPr="00180B02">
        <w:rPr>
          <w:color w:val="FF0000"/>
          <w:lang w:val="en-US"/>
        </w:rPr>
        <w:t xml:space="preserve"> 1 of Frank et al 2016)</w:t>
      </w:r>
      <w:r w:rsidR="000E4353" w:rsidRPr="00180B02">
        <w:rPr>
          <w:color w:val="FF0000"/>
          <w:lang w:val="en-US"/>
        </w:rPr>
        <w:t xml:space="preserve">.  Figure 3 in </w:t>
      </w:r>
      <w:proofErr w:type="spellStart"/>
      <w:r w:rsidR="000E4353" w:rsidRPr="00180B02">
        <w:rPr>
          <w:color w:val="FF0000"/>
          <w:lang w:val="en-US"/>
        </w:rPr>
        <w:t>Davoren</w:t>
      </w:r>
      <w:proofErr w:type="spellEnd"/>
      <w:r w:rsidR="000E4353" w:rsidRPr="00180B02">
        <w:rPr>
          <w:color w:val="FF0000"/>
          <w:lang w:val="en-US"/>
        </w:rPr>
        <w:t xml:space="preserve"> and Montevecchi (2003) depicts </w:t>
      </w:r>
      <w:r w:rsidRPr="00180B02">
        <w:rPr>
          <w:color w:val="FF0000"/>
          <w:lang w:val="en-US"/>
        </w:rPr>
        <w:t xml:space="preserve">the numbers of </w:t>
      </w:r>
      <w:r w:rsidR="000E4353" w:rsidRPr="00180B02">
        <w:rPr>
          <w:color w:val="FF0000"/>
          <w:lang w:val="en-US"/>
        </w:rPr>
        <w:t xml:space="preserve">breeding </w:t>
      </w:r>
      <w:proofErr w:type="spellStart"/>
      <w:r w:rsidRPr="00180B02">
        <w:rPr>
          <w:color w:val="FF0000"/>
          <w:lang w:val="en-US"/>
        </w:rPr>
        <w:t>murres</w:t>
      </w:r>
      <w:proofErr w:type="spellEnd"/>
      <w:r w:rsidRPr="00180B02">
        <w:rPr>
          <w:color w:val="FF0000"/>
          <w:lang w:val="en-US"/>
        </w:rPr>
        <w:t xml:space="preserve"> present during </w:t>
      </w:r>
      <w:r w:rsidR="000E4353" w:rsidRPr="00180B02">
        <w:rPr>
          <w:color w:val="FF0000"/>
          <w:lang w:val="en-US"/>
        </w:rPr>
        <w:t>August and documents a temporal shift in toward later breeding in the late 1990s.  This shift in breeding corresponds with the</w:t>
      </w:r>
      <w:r w:rsidRPr="00180B02">
        <w:rPr>
          <w:color w:val="FF0000"/>
          <w:lang w:val="en-US"/>
        </w:rPr>
        <w:t xml:space="preserve"> later inshore arrivals of capelin in the </w:t>
      </w:r>
      <w:proofErr w:type="spellStart"/>
      <w:r w:rsidRPr="00180B02">
        <w:rPr>
          <w:color w:val="FF0000"/>
          <w:lang w:val="en-US"/>
        </w:rPr>
        <w:t>murres</w:t>
      </w:r>
      <w:proofErr w:type="spellEnd"/>
      <w:r w:rsidRPr="00180B02">
        <w:rPr>
          <w:color w:val="FF0000"/>
          <w:lang w:val="en-US"/>
        </w:rPr>
        <w:t>’</w:t>
      </w:r>
      <w:r w:rsidR="0037320A" w:rsidRPr="00180B02">
        <w:rPr>
          <w:color w:val="FF0000"/>
          <w:lang w:val="en-US"/>
        </w:rPr>
        <w:t xml:space="preserve"> foraging range.  </w:t>
      </w:r>
      <w:r w:rsidR="006C59DB" w:rsidRPr="00180B02">
        <w:rPr>
          <w:color w:val="FF0000"/>
          <w:lang w:val="en-US"/>
        </w:rPr>
        <w:t>Yet t</w:t>
      </w:r>
      <w:r w:rsidRPr="00180B02">
        <w:rPr>
          <w:color w:val="FF0000"/>
          <w:lang w:val="en-US"/>
        </w:rPr>
        <w:t xml:space="preserve">he </w:t>
      </w:r>
      <w:r w:rsidR="007F777E" w:rsidRPr="00180B02">
        <w:rPr>
          <w:color w:val="FF0000"/>
          <w:lang w:val="en-US"/>
        </w:rPr>
        <w:t xml:space="preserve">population of </w:t>
      </w:r>
      <w:proofErr w:type="spellStart"/>
      <w:r w:rsidRPr="00180B02">
        <w:rPr>
          <w:color w:val="FF0000"/>
          <w:lang w:val="en-US"/>
        </w:rPr>
        <w:t>murres</w:t>
      </w:r>
      <w:proofErr w:type="spellEnd"/>
      <w:r w:rsidR="007F777E" w:rsidRPr="00180B02">
        <w:rPr>
          <w:color w:val="FF0000"/>
          <w:lang w:val="en-US"/>
        </w:rPr>
        <w:t xml:space="preserve"> </w:t>
      </w:r>
      <w:r w:rsidRPr="00180B02">
        <w:rPr>
          <w:color w:val="FF0000"/>
          <w:lang w:val="en-US"/>
        </w:rPr>
        <w:t xml:space="preserve">on Funk Island, </w:t>
      </w:r>
      <w:r w:rsidR="006C59DB" w:rsidRPr="00180B02">
        <w:rPr>
          <w:color w:val="FF0000"/>
          <w:lang w:val="en-US"/>
        </w:rPr>
        <w:t>did increase</w:t>
      </w:r>
      <w:r w:rsidRPr="00180B02">
        <w:rPr>
          <w:color w:val="FF0000"/>
          <w:lang w:val="en-US"/>
        </w:rPr>
        <w:t xml:space="preserve"> </w:t>
      </w:r>
      <w:r w:rsidR="00A860F6" w:rsidRPr="00180B02">
        <w:rPr>
          <w:color w:val="FF0000"/>
          <w:lang w:val="en-US"/>
        </w:rPr>
        <w:t>during</w:t>
      </w:r>
      <w:r w:rsidR="007F777E" w:rsidRPr="00180B02">
        <w:rPr>
          <w:color w:val="FF0000"/>
          <w:lang w:val="en-US"/>
        </w:rPr>
        <w:t xml:space="preserve"> t</w:t>
      </w:r>
      <w:r w:rsidR="0037320A" w:rsidRPr="00180B02">
        <w:rPr>
          <w:color w:val="FF0000"/>
          <w:lang w:val="en-US"/>
        </w:rPr>
        <w:t>he</w:t>
      </w:r>
      <w:r w:rsidR="006C59DB" w:rsidRPr="00180B02">
        <w:rPr>
          <w:color w:val="FF0000"/>
          <w:lang w:val="en-US"/>
        </w:rPr>
        <w:t xml:space="preserve"> 2000s (</w:t>
      </w:r>
      <w:proofErr w:type="spellStart"/>
      <w:r w:rsidR="006C59DB" w:rsidRPr="00180B02">
        <w:rPr>
          <w:color w:val="FF0000"/>
          <w:lang w:val="en-US"/>
        </w:rPr>
        <w:t>Chardine</w:t>
      </w:r>
      <w:proofErr w:type="spellEnd"/>
      <w:r w:rsidR="006C59DB" w:rsidRPr="00180B02">
        <w:rPr>
          <w:color w:val="FF0000"/>
          <w:lang w:val="en-US"/>
        </w:rPr>
        <w:t xml:space="preserve"> et al. 2003), though it is</w:t>
      </w:r>
      <w:r w:rsidR="0054724C" w:rsidRPr="00180B02">
        <w:rPr>
          <w:color w:val="FF0000"/>
          <w:lang w:val="en-US"/>
        </w:rPr>
        <w:t xml:space="preserve"> </w:t>
      </w:r>
      <w:r w:rsidR="00176042" w:rsidRPr="00180B02">
        <w:rPr>
          <w:color w:val="FF0000"/>
          <w:lang w:val="en-US"/>
        </w:rPr>
        <w:t xml:space="preserve">in no way paradoxical with reduced capelin biomass.  </w:t>
      </w:r>
      <w:r w:rsidR="0037320A" w:rsidRPr="00180B02">
        <w:rPr>
          <w:color w:val="FF0000"/>
          <w:lang w:val="en-US"/>
        </w:rPr>
        <w:t>M</w:t>
      </w:r>
      <w:r w:rsidR="007F777E" w:rsidRPr="00180B02">
        <w:rPr>
          <w:color w:val="FF0000"/>
          <w:lang w:val="en-US"/>
        </w:rPr>
        <w:t xml:space="preserve">uch of this </w:t>
      </w:r>
      <w:r w:rsidR="0054724C" w:rsidRPr="00180B02">
        <w:rPr>
          <w:color w:val="FF0000"/>
          <w:lang w:val="en-US"/>
        </w:rPr>
        <w:t xml:space="preserve">population </w:t>
      </w:r>
      <w:r w:rsidR="007F777E" w:rsidRPr="00180B02">
        <w:rPr>
          <w:color w:val="FF0000"/>
          <w:lang w:val="en-US"/>
        </w:rPr>
        <w:t xml:space="preserve">increase </w:t>
      </w:r>
      <w:r w:rsidR="0054724C" w:rsidRPr="00180B02">
        <w:rPr>
          <w:color w:val="FF0000"/>
          <w:lang w:val="en-US"/>
        </w:rPr>
        <w:t>is associated major</w:t>
      </w:r>
      <w:r w:rsidR="007F777E" w:rsidRPr="00180B02">
        <w:rPr>
          <w:color w:val="FF0000"/>
          <w:lang w:val="en-US"/>
        </w:rPr>
        <w:t xml:space="preserve"> reductio</w:t>
      </w:r>
      <w:r w:rsidR="0054724C" w:rsidRPr="00180B02">
        <w:rPr>
          <w:color w:val="FF0000"/>
          <w:lang w:val="en-US"/>
        </w:rPr>
        <w:t xml:space="preserve">ns in adult mortality </w:t>
      </w:r>
      <w:r w:rsidR="007F777E" w:rsidRPr="00180B02">
        <w:rPr>
          <w:color w:val="FF0000"/>
          <w:lang w:val="en-US"/>
        </w:rPr>
        <w:t>with the c</w:t>
      </w:r>
      <w:r w:rsidR="0054724C" w:rsidRPr="00180B02">
        <w:rPr>
          <w:color w:val="FF0000"/>
          <w:lang w:val="en-US"/>
        </w:rPr>
        <w:t>oincident with the c</w:t>
      </w:r>
      <w:r w:rsidR="007F777E" w:rsidRPr="00180B02">
        <w:rPr>
          <w:color w:val="FF0000"/>
          <w:lang w:val="en-US"/>
        </w:rPr>
        <w:t>losure of northern cod fishery and the removal of thousands of gillnets from inshore areas during the 1990s and</w:t>
      </w:r>
      <w:r w:rsidR="0037320A" w:rsidRPr="00180B02">
        <w:rPr>
          <w:color w:val="FF0000"/>
          <w:lang w:val="en-US"/>
        </w:rPr>
        <w:t xml:space="preserve"> 2000s </w:t>
      </w:r>
      <w:r w:rsidR="00176042" w:rsidRPr="00180B02">
        <w:rPr>
          <w:color w:val="FF0000"/>
          <w:lang w:val="en-US"/>
        </w:rPr>
        <w:t>and consequent bycatch mortality (Regular et al. 2014).  As</w:t>
      </w:r>
      <w:r w:rsidR="0037320A" w:rsidRPr="00180B02">
        <w:rPr>
          <w:color w:val="FF0000"/>
          <w:lang w:val="en-US"/>
        </w:rPr>
        <w:t xml:space="preserve"> well</w:t>
      </w:r>
      <w:r w:rsidR="00176042" w:rsidRPr="00180B02">
        <w:rPr>
          <w:color w:val="FF0000"/>
          <w:lang w:val="en-US"/>
        </w:rPr>
        <w:t>,</w:t>
      </w:r>
      <w:r w:rsidR="0037320A" w:rsidRPr="00180B02">
        <w:rPr>
          <w:color w:val="FF0000"/>
          <w:lang w:val="en-US"/>
        </w:rPr>
        <w:t xml:space="preserve"> </w:t>
      </w:r>
      <w:r w:rsidR="007F777E" w:rsidRPr="00180B02">
        <w:rPr>
          <w:color w:val="FF0000"/>
          <w:lang w:val="en-US"/>
        </w:rPr>
        <w:t>reductions in adult mortality</w:t>
      </w:r>
      <w:r w:rsidR="00A860F6" w:rsidRPr="00180B02">
        <w:rPr>
          <w:color w:val="FF0000"/>
          <w:lang w:val="en-US"/>
        </w:rPr>
        <w:t xml:space="preserve"> </w:t>
      </w:r>
      <w:r w:rsidR="007F777E" w:rsidRPr="00180B02">
        <w:rPr>
          <w:color w:val="FF0000"/>
          <w:lang w:val="en-US"/>
        </w:rPr>
        <w:t>associated with ship-source oil polluti</w:t>
      </w:r>
      <w:r w:rsidR="0037320A" w:rsidRPr="00180B02">
        <w:rPr>
          <w:color w:val="FF0000"/>
          <w:lang w:val="en-US"/>
        </w:rPr>
        <w:t>on and</w:t>
      </w:r>
      <w:r w:rsidR="00176042" w:rsidRPr="00180B02">
        <w:rPr>
          <w:color w:val="FF0000"/>
          <w:lang w:val="en-US"/>
        </w:rPr>
        <w:t xml:space="preserve"> with hunting have also decreased during this same period</w:t>
      </w:r>
      <w:r w:rsidR="0037320A" w:rsidRPr="00180B02">
        <w:rPr>
          <w:color w:val="FF0000"/>
          <w:lang w:val="en-US"/>
        </w:rPr>
        <w:t xml:space="preserve"> (Robertson et al. 2008</w:t>
      </w:r>
      <w:r w:rsidR="0054724C" w:rsidRPr="00180B02">
        <w:rPr>
          <w:color w:val="FF0000"/>
          <w:lang w:val="en-US"/>
        </w:rPr>
        <w:t>), and the cumulative effects of t</w:t>
      </w:r>
      <w:r w:rsidR="00176042" w:rsidRPr="00180B02">
        <w:rPr>
          <w:color w:val="FF0000"/>
          <w:lang w:val="en-US"/>
        </w:rPr>
        <w:t xml:space="preserve">hese reductions in adult mortality </w:t>
      </w:r>
      <w:r w:rsidR="0054724C" w:rsidRPr="00180B02">
        <w:rPr>
          <w:color w:val="FF0000"/>
          <w:lang w:val="en-US"/>
        </w:rPr>
        <w:t xml:space="preserve">would have overweighed negative population effects </w:t>
      </w:r>
      <w:r w:rsidR="00BB3F80" w:rsidRPr="00180B02">
        <w:rPr>
          <w:color w:val="FF0000"/>
          <w:lang w:val="en-US"/>
        </w:rPr>
        <w:t>associated with bottom-up prey base reductions.</w:t>
      </w:r>
      <w:r w:rsidR="0054724C" w:rsidRPr="00180B02">
        <w:rPr>
          <w:color w:val="FF0000"/>
          <w:lang w:val="en-US"/>
        </w:rPr>
        <w:t xml:space="preserve">  Along the same lines </w:t>
      </w:r>
      <w:r w:rsidR="00987F9B" w:rsidRPr="00180B02">
        <w:rPr>
          <w:color w:val="FF0000"/>
          <w:lang w:val="en-US"/>
        </w:rPr>
        <w:t>t</w:t>
      </w:r>
      <w:r w:rsidR="00D152CA" w:rsidRPr="00180B02">
        <w:rPr>
          <w:color w:val="FF0000"/>
          <w:lang w:val="en-US"/>
        </w:rPr>
        <w:t xml:space="preserve">he population </w:t>
      </w:r>
      <w:r w:rsidR="00987F9B" w:rsidRPr="00180B02">
        <w:rPr>
          <w:color w:val="FF0000"/>
          <w:lang w:val="en-US"/>
        </w:rPr>
        <w:t xml:space="preserve">growth </w:t>
      </w:r>
      <w:r w:rsidR="00D152CA" w:rsidRPr="00180B02">
        <w:rPr>
          <w:color w:val="FF0000"/>
          <w:lang w:val="en-US"/>
        </w:rPr>
        <w:t xml:space="preserve">of </w:t>
      </w:r>
      <w:r w:rsidR="00987F9B" w:rsidRPr="00180B02">
        <w:rPr>
          <w:color w:val="FF0000"/>
          <w:lang w:val="en-US"/>
        </w:rPr>
        <w:t xml:space="preserve">Atlantic puffins </w:t>
      </w:r>
      <w:proofErr w:type="spellStart"/>
      <w:r w:rsidR="00987F9B" w:rsidRPr="00180B02">
        <w:rPr>
          <w:i/>
          <w:color w:val="FF0000"/>
          <w:lang w:val="en-US"/>
        </w:rPr>
        <w:t>Fratercula</w:t>
      </w:r>
      <w:proofErr w:type="spellEnd"/>
      <w:r w:rsidR="00987F9B" w:rsidRPr="00180B02">
        <w:rPr>
          <w:i/>
          <w:color w:val="FF0000"/>
          <w:lang w:val="en-US"/>
        </w:rPr>
        <w:t xml:space="preserve"> </w:t>
      </w:r>
      <w:proofErr w:type="spellStart"/>
      <w:r w:rsidR="00987F9B" w:rsidRPr="00180B02">
        <w:rPr>
          <w:i/>
          <w:color w:val="FF0000"/>
          <w:lang w:val="en-US"/>
        </w:rPr>
        <w:t>arctica</w:t>
      </w:r>
      <w:proofErr w:type="spellEnd"/>
      <w:r w:rsidR="00987F9B" w:rsidRPr="00180B02">
        <w:rPr>
          <w:color w:val="FF0000"/>
          <w:lang w:val="en-US"/>
        </w:rPr>
        <w:t xml:space="preserve"> and </w:t>
      </w:r>
      <w:r w:rsidR="00D152CA" w:rsidRPr="00180B02">
        <w:rPr>
          <w:color w:val="FF0000"/>
          <w:lang w:val="en-US"/>
        </w:rPr>
        <w:t xml:space="preserve">northern gannets </w:t>
      </w:r>
      <w:proofErr w:type="spellStart"/>
      <w:r w:rsidR="00987F9B" w:rsidRPr="00180B02">
        <w:rPr>
          <w:i/>
          <w:color w:val="FF0000"/>
          <w:lang w:val="en-US"/>
        </w:rPr>
        <w:t>Morus</w:t>
      </w:r>
      <w:proofErr w:type="spellEnd"/>
      <w:r w:rsidR="00987F9B" w:rsidRPr="00180B02">
        <w:rPr>
          <w:i/>
          <w:color w:val="FF0000"/>
          <w:lang w:val="en-US"/>
        </w:rPr>
        <w:t xml:space="preserve"> </w:t>
      </w:r>
      <w:proofErr w:type="spellStart"/>
      <w:r w:rsidR="00987F9B" w:rsidRPr="00180B02">
        <w:rPr>
          <w:i/>
          <w:color w:val="FF0000"/>
          <w:lang w:val="en-US"/>
        </w:rPr>
        <w:t>bassanus</w:t>
      </w:r>
      <w:proofErr w:type="spellEnd"/>
      <w:r w:rsidR="00987F9B" w:rsidRPr="00180B02">
        <w:rPr>
          <w:color w:val="FF0000"/>
          <w:lang w:val="en-US"/>
        </w:rPr>
        <w:t xml:space="preserve"> </w:t>
      </w:r>
      <w:r w:rsidR="00D152CA" w:rsidRPr="00180B02">
        <w:rPr>
          <w:color w:val="FF0000"/>
          <w:lang w:val="en-US"/>
        </w:rPr>
        <w:t>also increased over t</w:t>
      </w:r>
      <w:r w:rsidR="00176042" w:rsidRPr="00180B02">
        <w:rPr>
          <w:color w:val="FF0000"/>
          <w:lang w:val="en-US"/>
        </w:rPr>
        <w:t>his period (</w:t>
      </w:r>
      <w:proofErr w:type="spellStart"/>
      <w:r w:rsidR="00176042" w:rsidRPr="00180B02">
        <w:rPr>
          <w:color w:val="FF0000"/>
          <w:lang w:val="en-US"/>
        </w:rPr>
        <w:t>Chardine</w:t>
      </w:r>
      <w:proofErr w:type="spellEnd"/>
      <w:r w:rsidR="00176042" w:rsidRPr="00180B02">
        <w:rPr>
          <w:color w:val="FF0000"/>
          <w:lang w:val="en-US"/>
        </w:rPr>
        <w:t xml:space="preserve"> et al. 2003</w:t>
      </w:r>
      <w:r w:rsidR="00D152CA" w:rsidRPr="00180B02">
        <w:rPr>
          <w:color w:val="FF0000"/>
          <w:lang w:val="en-US"/>
        </w:rPr>
        <w:t>)</w:t>
      </w:r>
      <w:r w:rsidR="00E12444" w:rsidRPr="00180B02">
        <w:rPr>
          <w:color w:val="FF0000"/>
          <w:lang w:val="en-US"/>
        </w:rPr>
        <w:t>, and these</w:t>
      </w:r>
      <w:r w:rsidR="00176042" w:rsidRPr="00180B02">
        <w:rPr>
          <w:color w:val="FF0000"/>
          <w:lang w:val="en-US"/>
        </w:rPr>
        <w:t xml:space="preserve"> </w:t>
      </w:r>
      <w:r w:rsidR="002E4B74" w:rsidRPr="00180B02">
        <w:rPr>
          <w:color w:val="FF0000"/>
          <w:lang w:val="en-US"/>
        </w:rPr>
        <w:t>increase</w:t>
      </w:r>
      <w:r w:rsidR="00E12444" w:rsidRPr="00180B02">
        <w:rPr>
          <w:color w:val="FF0000"/>
          <w:lang w:val="en-US"/>
        </w:rPr>
        <w:t>s are</w:t>
      </w:r>
      <w:r w:rsidR="002E4B74" w:rsidRPr="00180B02">
        <w:rPr>
          <w:color w:val="FF0000"/>
          <w:lang w:val="en-US"/>
        </w:rPr>
        <w:t xml:space="preserve"> associated with</w:t>
      </w:r>
      <w:r w:rsidR="00176042" w:rsidRPr="00180B02">
        <w:rPr>
          <w:color w:val="FF0000"/>
          <w:lang w:val="en-US"/>
        </w:rPr>
        <w:t xml:space="preserve"> </w:t>
      </w:r>
      <w:r w:rsidR="00E12444" w:rsidRPr="00180B02">
        <w:rPr>
          <w:color w:val="FF0000"/>
          <w:lang w:val="en-US"/>
        </w:rPr>
        <w:t>the above cumulative effects</w:t>
      </w:r>
      <w:r w:rsidR="00D152CA" w:rsidRPr="00180B02">
        <w:rPr>
          <w:color w:val="FF0000"/>
          <w:lang w:val="en-US"/>
        </w:rPr>
        <w:t>.</w:t>
      </w:r>
    </w:p>
    <w:p w:rsidR="009043B0" w:rsidRPr="00180B02" w:rsidRDefault="00E12444" w:rsidP="002E4B74">
      <w:pPr>
        <w:ind w:left="2160"/>
        <w:rPr>
          <w:color w:val="FF0000"/>
          <w:lang w:val="en-US"/>
        </w:rPr>
      </w:pPr>
      <w:r w:rsidRPr="00180B02">
        <w:rPr>
          <w:color w:val="FF0000"/>
          <w:lang w:val="en-US"/>
        </w:rPr>
        <w:t>W</w:t>
      </w:r>
      <w:r w:rsidR="002E4B74" w:rsidRPr="00180B02">
        <w:rPr>
          <w:color w:val="FF0000"/>
          <w:lang w:val="en-US"/>
        </w:rPr>
        <w:t>hile the overall abundance of capelin is well below 33% long-term st</w:t>
      </w:r>
      <w:r w:rsidR="002C6161" w:rsidRPr="00180B02">
        <w:rPr>
          <w:color w:val="FF0000"/>
          <w:lang w:val="en-US"/>
        </w:rPr>
        <w:t>o</w:t>
      </w:r>
      <w:r w:rsidR="002E4B74" w:rsidRPr="00180B02">
        <w:rPr>
          <w:color w:val="FF0000"/>
          <w:lang w:val="en-US"/>
        </w:rPr>
        <w:t>ck biomass</w:t>
      </w:r>
      <w:r w:rsidR="0034251E" w:rsidRPr="00180B02">
        <w:rPr>
          <w:color w:val="FF0000"/>
          <w:lang w:val="en-US"/>
        </w:rPr>
        <w:t xml:space="preserve"> assumed to be a critical threshold for seabird production (Curry et al 2011),</w:t>
      </w:r>
      <w:r w:rsidR="002E4B74" w:rsidRPr="00180B02">
        <w:rPr>
          <w:color w:val="FF0000"/>
          <w:lang w:val="en-US"/>
        </w:rPr>
        <w:t xml:space="preserve"> it appears </w:t>
      </w:r>
      <w:r w:rsidR="002C6161" w:rsidRPr="00180B02">
        <w:rPr>
          <w:color w:val="FF0000"/>
          <w:lang w:val="en-US"/>
        </w:rPr>
        <w:t>that the dis</w:t>
      </w:r>
      <w:r w:rsidR="002E4B74" w:rsidRPr="00180B02">
        <w:rPr>
          <w:color w:val="FF0000"/>
          <w:lang w:val="en-US"/>
        </w:rPr>
        <w:t xml:space="preserve">tribution and density </w:t>
      </w:r>
      <w:r w:rsidR="002C6161" w:rsidRPr="00180B02">
        <w:rPr>
          <w:color w:val="FF0000"/>
          <w:lang w:val="en-US"/>
        </w:rPr>
        <w:t xml:space="preserve">of the forage fish </w:t>
      </w:r>
      <w:r w:rsidR="002E4B74" w:rsidRPr="00180B02">
        <w:rPr>
          <w:color w:val="FF0000"/>
          <w:lang w:val="en-US"/>
        </w:rPr>
        <w:t>within the seabird foraging around Funk Island</w:t>
      </w:r>
      <w:r w:rsidR="002C6161" w:rsidRPr="00180B02">
        <w:rPr>
          <w:color w:val="FF0000"/>
          <w:lang w:val="en-US"/>
        </w:rPr>
        <w:t xml:space="preserve"> is robust representing a hotspot in an otherwise very sparse overall distribution [</w:t>
      </w:r>
      <w:r w:rsidR="002E4B74" w:rsidRPr="00180B02">
        <w:rPr>
          <w:color w:val="FF0000"/>
          <w:lang w:val="en-US"/>
        </w:rPr>
        <w:t>Gail</w:t>
      </w:r>
      <w:r w:rsidR="002C6161" w:rsidRPr="00180B02">
        <w:rPr>
          <w:color w:val="FF0000"/>
          <w:lang w:val="en-US"/>
        </w:rPr>
        <w:t>; Mowbray]</w:t>
      </w:r>
      <w:r w:rsidR="002E4B74" w:rsidRPr="00180B02">
        <w:rPr>
          <w:color w:val="FF0000"/>
          <w:lang w:val="en-US"/>
        </w:rPr>
        <w:t>.</w:t>
      </w:r>
      <w:r w:rsidR="009E34E0" w:rsidRPr="00180B02">
        <w:rPr>
          <w:color w:val="FF0000"/>
          <w:lang w:val="en-US"/>
        </w:rPr>
        <w:t xml:space="preserve">  </w:t>
      </w:r>
      <w:r w:rsidR="00E43E5B" w:rsidRPr="00180B02">
        <w:rPr>
          <w:color w:val="FF0000"/>
          <w:lang w:val="en-US"/>
        </w:rPr>
        <w:t xml:space="preserve">Interestingly, the common </w:t>
      </w:r>
      <w:proofErr w:type="spellStart"/>
      <w:r w:rsidR="00E43E5B" w:rsidRPr="00180B02">
        <w:rPr>
          <w:color w:val="FF0000"/>
          <w:lang w:val="en-US"/>
        </w:rPr>
        <w:t>murres</w:t>
      </w:r>
      <w:proofErr w:type="spellEnd"/>
      <w:r w:rsidR="00E43E5B" w:rsidRPr="00180B02">
        <w:rPr>
          <w:color w:val="FF0000"/>
          <w:lang w:val="en-US"/>
        </w:rPr>
        <w:t xml:space="preserve">’ largest colony is on Funk </w:t>
      </w:r>
      <w:r w:rsidR="009043B0" w:rsidRPr="00180B02">
        <w:rPr>
          <w:color w:val="FF0000"/>
          <w:lang w:val="en-US"/>
        </w:rPr>
        <w:t xml:space="preserve">Island, perhaps as a consequence of these conditions. </w:t>
      </w:r>
      <w:r w:rsidR="00E43E5B" w:rsidRPr="00180B02">
        <w:rPr>
          <w:color w:val="FF0000"/>
          <w:lang w:val="en-US"/>
        </w:rPr>
        <w:t xml:space="preserve"> </w:t>
      </w:r>
    </w:p>
    <w:p w:rsidR="00CD2163" w:rsidRPr="00180B02" w:rsidRDefault="009E34E0" w:rsidP="00C51001">
      <w:pPr>
        <w:ind w:left="2160"/>
        <w:rPr>
          <w:color w:val="FF0000"/>
          <w:lang w:val="en-US"/>
        </w:rPr>
      </w:pPr>
      <w:r w:rsidRPr="00180B02">
        <w:rPr>
          <w:color w:val="FF0000"/>
          <w:lang w:val="en-US"/>
        </w:rPr>
        <w:t xml:space="preserve">Frank et al. </w:t>
      </w:r>
      <w:r w:rsidR="00E95DD3" w:rsidRPr="00180B02">
        <w:rPr>
          <w:color w:val="FF0000"/>
          <w:lang w:val="en-US"/>
        </w:rPr>
        <w:t xml:space="preserve">(2016) </w:t>
      </w:r>
      <w:r w:rsidR="009043B0" w:rsidRPr="00180B02">
        <w:rPr>
          <w:color w:val="FF0000"/>
          <w:lang w:val="en-US"/>
        </w:rPr>
        <w:t xml:space="preserve">also </w:t>
      </w:r>
      <w:r w:rsidR="00E95DD3" w:rsidRPr="00180B02">
        <w:rPr>
          <w:color w:val="FF0000"/>
          <w:lang w:val="en-US"/>
        </w:rPr>
        <w:t>question</w:t>
      </w:r>
      <w:r w:rsidR="00E43E5B" w:rsidRPr="00180B02">
        <w:rPr>
          <w:color w:val="FF0000"/>
          <w:lang w:val="en-US"/>
        </w:rPr>
        <w:t>ed</w:t>
      </w:r>
      <w:r w:rsidR="00E95DD3" w:rsidRPr="00180B02">
        <w:rPr>
          <w:color w:val="FF0000"/>
          <w:lang w:val="en-US"/>
        </w:rPr>
        <w:t xml:space="preserve"> why the northern gannets’ consumption of capelin is considerably higher </w:t>
      </w:r>
      <w:r w:rsidR="00E43E5B" w:rsidRPr="00180B02">
        <w:rPr>
          <w:color w:val="FF0000"/>
          <w:lang w:val="en-US"/>
        </w:rPr>
        <w:t>from 1990- 2004 (20</w:t>
      </w:r>
      <w:r w:rsidR="00E43E5B" w:rsidRPr="00180B02">
        <w:rPr>
          <w:color w:val="FF0000"/>
          <w:lang w:val="en-US"/>
        </w:rPr>
        <w:t xml:space="preserve"> </w:t>
      </w:r>
      <w:r w:rsidR="00E43E5B" w:rsidRPr="00180B02">
        <w:rPr>
          <w:color w:val="FF0000"/>
          <w:lang w:val="en-US"/>
        </w:rPr>
        <w:t>–</w:t>
      </w:r>
      <w:r w:rsidR="00E43E5B" w:rsidRPr="00180B02">
        <w:rPr>
          <w:color w:val="FF0000"/>
          <w:lang w:val="en-US"/>
        </w:rPr>
        <w:t xml:space="preserve"> 100</w:t>
      </w:r>
      <w:r w:rsidR="00E43E5B" w:rsidRPr="00180B02">
        <w:rPr>
          <w:color w:val="FF0000"/>
          <w:lang w:val="en-US"/>
        </w:rPr>
        <w:t xml:space="preserve"> </w:t>
      </w:r>
      <w:r w:rsidR="00E43E5B" w:rsidRPr="00180B02">
        <w:rPr>
          <w:color w:val="FF0000"/>
          <w:lang w:val="en-US"/>
        </w:rPr>
        <w:t>%;)</w:t>
      </w:r>
      <w:r w:rsidR="00E43E5B" w:rsidRPr="00180B02">
        <w:rPr>
          <w:color w:val="FF0000"/>
          <w:lang w:val="en-US"/>
        </w:rPr>
        <w:t xml:space="preserve"> than it is </w:t>
      </w:r>
      <w:r w:rsidR="00E95DD3" w:rsidRPr="00180B02">
        <w:rPr>
          <w:color w:val="FF0000"/>
          <w:lang w:val="en-US"/>
        </w:rPr>
        <w:t>before 1990 (&lt;12</w:t>
      </w:r>
      <w:r w:rsidR="00E43E5B" w:rsidRPr="00180B02">
        <w:rPr>
          <w:color w:val="FF0000"/>
          <w:lang w:val="en-US"/>
        </w:rPr>
        <w:t xml:space="preserve">; </w:t>
      </w:r>
      <w:r w:rsidR="00E43E5B" w:rsidRPr="00180B02">
        <w:rPr>
          <w:color w:val="FF0000"/>
          <w:lang w:val="en-US"/>
        </w:rPr>
        <w:t>Montevecchi 2007</w:t>
      </w:r>
      <w:r w:rsidR="00E43E5B" w:rsidRPr="00180B02">
        <w:rPr>
          <w:color w:val="FF0000"/>
          <w:lang w:val="en-US"/>
        </w:rPr>
        <w:t>%), yet they ignore our primary</w:t>
      </w:r>
      <w:r w:rsidR="00C51001" w:rsidRPr="00180B02">
        <w:rPr>
          <w:color w:val="FF0000"/>
          <w:lang w:val="en-US"/>
        </w:rPr>
        <w:t xml:space="preserve"> contention that the cold water regime shift</w:t>
      </w:r>
      <w:r w:rsidR="00E95DD3" w:rsidRPr="00180B02">
        <w:rPr>
          <w:color w:val="FF0000"/>
          <w:lang w:val="en-US"/>
        </w:rPr>
        <w:t xml:space="preserve"> </w:t>
      </w:r>
      <w:r w:rsidR="00E43E5B" w:rsidRPr="00180B02">
        <w:rPr>
          <w:color w:val="FF0000"/>
          <w:lang w:val="en-US"/>
        </w:rPr>
        <w:t xml:space="preserve">precluded the gannet’s preferred large pelagic warm-water prey </w:t>
      </w:r>
      <w:r w:rsidR="00C51001" w:rsidRPr="00180B02">
        <w:rPr>
          <w:color w:val="FF0000"/>
          <w:lang w:val="en-US"/>
        </w:rPr>
        <w:t xml:space="preserve">from moving into the region hence facilitating </w:t>
      </w:r>
      <w:proofErr w:type="spellStart"/>
      <w:r w:rsidR="00C51001" w:rsidRPr="00180B02">
        <w:rPr>
          <w:color w:val="FF0000"/>
          <w:lang w:val="en-US"/>
        </w:rPr>
        <w:t>ther</w:t>
      </w:r>
      <w:proofErr w:type="spellEnd"/>
      <w:r w:rsidR="00C51001" w:rsidRPr="00180B02">
        <w:rPr>
          <w:color w:val="FF0000"/>
          <w:lang w:val="en-US"/>
        </w:rPr>
        <w:t xml:space="preserve"> prey switch </w:t>
      </w:r>
      <w:r w:rsidR="00C51001" w:rsidRPr="00180B02">
        <w:rPr>
          <w:color w:val="FF0000"/>
          <w:lang w:val="en-US"/>
        </w:rPr>
        <w:t>to capelin</w:t>
      </w:r>
      <w:r w:rsidR="00C51001" w:rsidRPr="00180B02">
        <w:rPr>
          <w:color w:val="FF0000"/>
          <w:lang w:val="en-US"/>
        </w:rPr>
        <w:t xml:space="preserve">. </w:t>
      </w:r>
      <w:r w:rsidR="00E43E5B" w:rsidRPr="00180B02">
        <w:rPr>
          <w:color w:val="FF0000"/>
          <w:lang w:val="en-US"/>
        </w:rPr>
        <w:t>(Montevecchi and Myers 1997; Montevecchi 2007)</w:t>
      </w:r>
      <w:r w:rsidR="00E43E5B" w:rsidRPr="00180B02">
        <w:rPr>
          <w:color w:val="FF0000"/>
          <w:lang w:val="en-US"/>
        </w:rPr>
        <w:t xml:space="preserve">. </w:t>
      </w:r>
    </w:p>
    <w:p w:rsidR="007F777E" w:rsidRPr="00180B02" w:rsidRDefault="007F777E" w:rsidP="00F15E1D">
      <w:pPr>
        <w:ind w:left="2160"/>
        <w:rPr>
          <w:color w:val="FF0000"/>
          <w:lang w:val="en-US"/>
        </w:rPr>
      </w:pPr>
      <w:r w:rsidRPr="00180B02">
        <w:rPr>
          <w:color w:val="FF0000"/>
          <w:lang w:val="en-US"/>
        </w:rPr>
        <w:t xml:space="preserve">Literature Cited </w:t>
      </w:r>
    </w:p>
    <w:p w:rsidR="007F777E" w:rsidRPr="00180B02" w:rsidRDefault="007F777E" w:rsidP="00F15E1D">
      <w:pPr>
        <w:ind w:left="2160"/>
        <w:rPr>
          <w:color w:val="FF0000"/>
          <w:lang w:val="en-US"/>
        </w:rPr>
      </w:pPr>
      <w:proofErr w:type="spellStart"/>
      <w:r w:rsidRPr="00180B02">
        <w:rPr>
          <w:color w:val="FF0000"/>
          <w:lang w:val="en-US"/>
        </w:rPr>
        <w:t>Chardine</w:t>
      </w:r>
      <w:proofErr w:type="spellEnd"/>
      <w:r w:rsidRPr="00180B02">
        <w:rPr>
          <w:color w:val="FF0000"/>
          <w:lang w:val="en-US"/>
        </w:rPr>
        <w:t xml:space="preserve"> et al. </w:t>
      </w:r>
      <w:r w:rsidR="00354F50" w:rsidRPr="00180B02">
        <w:rPr>
          <w:color w:val="FF0000"/>
          <w:lang w:val="en-US"/>
        </w:rPr>
        <w:t>(</w:t>
      </w:r>
      <w:r w:rsidRPr="00180B02">
        <w:rPr>
          <w:color w:val="FF0000"/>
          <w:lang w:val="en-US"/>
        </w:rPr>
        <w:t>2003)</w:t>
      </w:r>
    </w:p>
    <w:p w:rsidR="00D152CA" w:rsidRPr="00180B02" w:rsidRDefault="00D152CA" w:rsidP="00F15E1D">
      <w:pPr>
        <w:ind w:left="2160"/>
        <w:rPr>
          <w:color w:val="FF0000"/>
          <w:lang w:val="en-US"/>
        </w:rPr>
      </w:pPr>
      <w:proofErr w:type="spellStart"/>
      <w:r w:rsidRPr="00180B02">
        <w:rPr>
          <w:color w:val="FF0000"/>
          <w:lang w:val="en-US"/>
        </w:rPr>
        <w:t>Chardine</w:t>
      </w:r>
      <w:proofErr w:type="spellEnd"/>
      <w:r w:rsidRPr="00180B02">
        <w:rPr>
          <w:color w:val="FF0000"/>
          <w:lang w:val="en-US"/>
        </w:rPr>
        <w:t xml:space="preserve"> et al. 2013) </w:t>
      </w:r>
    </w:p>
    <w:p w:rsidR="0034251E" w:rsidRPr="00180B02" w:rsidRDefault="0034251E" w:rsidP="00F15E1D">
      <w:pPr>
        <w:ind w:left="2160"/>
        <w:rPr>
          <w:color w:val="FF0000"/>
          <w:lang w:val="en-US"/>
        </w:rPr>
      </w:pPr>
      <w:r w:rsidRPr="00180B02">
        <w:rPr>
          <w:color w:val="FF0000"/>
          <w:lang w:val="en-US"/>
        </w:rPr>
        <w:t>Curry et al 2011</w:t>
      </w:r>
    </w:p>
    <w:p w:rsidR="00C51001" w:rsidRPr="00180B02" w:rsidRDefault="00C51001" w:rsidP="00F15E1D">
      <w:pPr>
        <w:ind w:left="2160"/>
        <w:rPr>
          <w:color w:val="FF0000"/>
          <w:lang w:val="en-US"/>
        </w:rPr>
      </w:pPr>
      <w:r w:rsidRPr="00180B02">
        <w:rPr>
          <w:color w:val="FF0000"/>
          <w:lang w:val="en-US"/>
        </w:rPr>
        <w:t>Montevecchi 2000</w:t>
      </w:r>
    </w:p>
    <w:p w:rsidR="00EB1962" w:rsidRPr="00180B02" w:rsidRDefault="00EB1962" w:rsidP="00F15E1D">
      <w:pPr>
        <w:ind w:left="2160"/>
        <w:rPr>
          <w:color w:val="FF0000"/>
          <w:lang w:val="en-US"/>
        </w:rPr>
      </w:pPr>
      <w:r w:rsidRPr="00180B02">
        <w:rPr>
          <w:color w:val="FF0000"/>
          <w:lang w:val="en-US"/>
        </w:rPr>
        <w:t xml:space="preserve">Montevecchi 2007).  </w:t>
      </w:r>
    </w:p>
    <w:p w:rsidR="00354F50" w:rsidRPr="00180B02" w:rsidRDefault="00354F50" w:rsidP="00F15E1D">
      <w:pPr>
        <w:ind w:left="2160"/>
        <w:rPr>
          <w:color w:val="FF0000"/>
          <w:lang w:val="en-US"/>
        </w:rPr>
      </w:pPr>
      <w:r w:rsidRPr="00180B02">
        <w:rPr>
          <w:color w:val="FF0000"/>
          <w:lang w:val="en-US"/>
        </w:rPr>
        <w:t>Regular et al. 2014)</w:t>
      </w:r>
    </w:p>
    <w:p w:rsidR="00180B02" w:rsidRPr="00180B02" w:rsidRDefault="0037320A" w:rsidP="00180B02">
      <w:pPr>
        <w:ind w:left="2160"/>
        <w:rPr>
          <w:color w:val="FF0000"/>
          <w:lang w:val="en-US"/>
        </w:rPr>
      </w:pPr>
      <w:r w:rsidRPr="00180B02">
        <w:rPr>
          <w:color w:val="FF0000"/>
          <w:lang w:val="en-US"/>
        </w:rPr>
        <w:t>Robertson et al. 2008</w:t>
      </w:r>
      <w:r w:rsidR="00180B02" w:rsidRPr="00180B02">
        <w:rPr>
          <w:color w:val="FF0000"/>
          <w:lang w:val="en-US"/>
        </w:rPr>
        <w:t>)</w:t>
      </w:r>
    </w:p>
    <w:bookmarkEnd w:id="0"/>
    <w:p w:rsidR="00CD2163" w:rsidRPr="00FB71BD" w:rsidRDefault="00DC7857" w:rsidP="00180B02">
      <w:pPr>
        <w:ind w:left="2160"/>
        <w:rPr>
          <w:highlight w:val="yellow"/>
          <w:u w:val="single"/>
        </w:rPr>
      </w:pPr>
      <w:r w:rsidRPr="00B65291">
        <w:rPr>
          <w:u w:val="single"/>
          <w:lang w:val="en-US"/>
        </w:rPr>
        <w:t>Zooplankton response</w:t>
      </w:r>
      <w:r w:rsidR="00B65291">
        <w:rPr>
          <w:lang w:val="en-US"/>
        </w:rPr>
        <w:t xml:space="preserve"> CPR data. No change in abundance post 1991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PIERRE</w:t>
      </w:r>
    </w:p>
    <w:p w:rsidR="00CD2163" w:rsidRPr="00483538" w:rsidRDefault="00DC7857" w:rsidP="00B65291">
      <w:pPr>
        <w:numPr>
          <w:ilvl w:val="2"/>
          <w:numId w:val="2"/>
        </w:numPr>
        <w:rPr>
          <w:u w:val="single"/>
        </w:rPr>
      </w:pPr>
      <w:r w:rsidRPr="00B65291">
        <w:rPr>
          <w:u w:val="single"/>
          <w:lang w:val="en-US"/>
        </w:rPr>
        <w:t>Physical variability</w:t>
      </w:r>
      <w:r w:rsidR="00B65291">
        <w:rPr>
          <w:lang w:val="en-US"/>
        </w:rPr>
        <w:t xml:space="preserve"> </w:t>
      </w:r>
      <w:r>
        <w:rPr>
          <w:lang w:val="en-US"/>
        </w:rPr>
        <w:t>shift from cold to warm in mid 1990s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PIERRE</w:t>
      </w:r>
    </w:p>
    <w:p w:rsidR="001104D4" w:rsidRPr="00180B02" w:rsidRDefault="0077520E" w:rsidP="001104D4">
      <w:pPr>
        <w:ind w:left="2160"/>
        <w:rPr>
          <w:rFonts w:cstheme="minorHAnsi"/>
          <w:color w:val="FF0000"/>
          <w:u w:val="single"/>
        </w:rPr>
      </w:pPr>
      <w:r w:rsidRPr="00180B02">
        <w:rPr>
          <w:color w:val="FF0000"/>
          <w:u w:val="single"/>
        </w:rPr>
        <w:t xml:space="preserve">Frank et al. (2016) question why the increase in </w:t>
      </w:r>
      <w:r w:rsidR="00F426E9" w:rsidRPr="00180B02">
        <w:rPr>
          <w:color w:val="FF0000"/>
          <w:u w:val="single"/>
        </w:rPr>
        <w:t xml:space="preserve">SST in the late 1990s occurred 5 years after the capelin collapse and is not temporally associated with it.  However, they fail to acknowledge that this </w:t>
      </w:r>
      <w:r w:rsidR="008114BA" w:rsidRPr="00180B02">
        <w:rPr>
          <w:color w:val="FF0000"/>
          <w:u w:val="single"/>
        </w:rPr>
        <w:t xml:space="preserve">patterning well reflects a regime shift in which the biological consequences </w:t>
      </w:r>
      <w:r w:rsidR="00CD359C" w:rsidRPr="00180B02">
        <w:rPr>
          <w:color w:val="FF0000"/>
          <w:u w:val="single"/>
        </w:rPr>
        <w:t xml:space="preserve">continue in an altered state well after physical conditions have returned to pre-perturbation levels </w:t>
      </w:r>
      <w:r w:rsidR="00747C6F" w:rsidRPr="00180B02">
        <w:rPr>
          <w:color w:val="FF0000"/>
          <w:u w:val="single"/>
        </w:rPr>
        <w:t xml:space="preserve">(Hare and Mantua 2000).  Missing this point, </w:t>
      </w:r>
      <w:proofErr w:type="spellStart"/>
      <w:r w:rsidR="00747C6F" w:rsidRPr="00180B02">
        <w:rPr>
          <w:color w:val="FF0000"/>
          <w:u w:val="single"/>
        </w:rPr>
        <w:t>Frnak</w:t>
      </w:r>
      <w:proofErr w:type="spellEnd"/>
      <w:r w:rsidR="00747C6F" w:rsidRPr="00180B02">
        <w:rPr>
          <w:color w:val="FF0000"/>
          <w:u w:val="single"/>
        </w:rPr>
        <w:t xml:space="preserve"> et al (2016) mistakenly conclude – “The evidence is weak, therefore, that changes in the physical environment were </w:t>
      </w:r>
      <w:r w:rsidR="00747C6F" w:rsidRPr="00180B02">
        <w:rPr>
          <w:rFonts w:cstheme="minorHAnsi"/>
          <w:color w:val="FF0000"/>
          <w:u w:val="single"/>
        </w:rPr>
        <w:t xml:space="preserve">responsible for the </w:t>
      </w:r>
      <w:proofErr w:type="spellStart"/>
      <w:r w:rsidR="00747C6F" w:rsidRPr="00180B02">
        <w:rPr>
          <w:rFonts w:cstheme="minorHAnsi"/>
          <w:color w:val="FF0000"/>
          <w:u w:val="single"/>
        </w:rPr>
        <w:t>r</w:t>
      </w:r>
      <w:r w:rsidR="001104D4" w:rsidRPr="00180B02">
        <w:rPr>
          <w:rFonts w:cstheme="minorHAnsi"/>
          <w:color w:val="FF0000"/>
          <w:u w:val="single"/>
        </w:rPr>
        <w:t>ported</w:t>
      </w:r>
      <w:proofErr w:type="spellEnd"/>
      <w:r w:rsidR="001104D4" w:rsidRPr="00180B02">
        <w:rPr>
          <w:rFonts w:cstheme="minorHAnsi"/>
          <w:color w:val="FF0000"/>
          <w:u w:val="single"/>
        </w:rPr>
        <w:t xml:space="preserve"> 1991 collapse of capelin.</w:t>
      </w:r>
    </w:p>
    <w:p w:rsidR="00747C6F" w:rsidRPr="00180B02" w:rsidRDefault="001104D4" w:rsidP="001104D4">
      <w:pPr>
        <w:ind w:left="2160"/>
        <w:rPr>
          <w:rFonts w:cstheme="minorHAnsi"/>
          <w:color w:val="FF0000"/>
        </w:rPr>
      </w:pPr>
      <w:r w:rsidRPr="00180B02">
        <w:rPr>
          <w:rFonts w:cstheme="minorHAnsi"/>
          <w:color w:val="FF0000"/>
        </w:rPr>
        <w:t xml:space="preserve">On page 1999, Frank et al. (2016) not </w:t>
      </w:r>
      <w:proofErr w:type="gramStart"/>
      <w:r w:rsidRPr="00180B02">
        <w:rPr>
          <w:rFonts w:cstheme="minorHAnsi"/>
          <w:color w:val="FF0000"/>
        </w:rPr>
        <w:t>-  “</w:t>
      </w:r>
      <w:proofErr w:type="gramEnd"/>
      <w:r w:rsidRPr="00180B02">
        <w:rPr>
          <w:rFonts w:cstheme="minorHAnsi"/>
          <w:color w:val="FF0000"/>
        </w:rPr>
        <w:t>w</w:t>
      </w:r>
      <w:r w:rsidRPr="00180B02">
        <w:rPr>
          <w:rFonts w:cstheme="minorHAnsi"/>
          <w:color w:val="FF0000"/>
        </w:rPr>
        <w:t>e would expect that if a</w:t>
      </w:r>
      <w:r w:rsidRPr="00180B02">
        <w:rPr>
          <w:rFonts w:cstheme="minorHAnsi"/>
          <w:color w:val="FF0000"/>
          <w:u w:val="single"/>
        </w:rPr>
        <w:t xml:space="preserve"> </w:t>
      </w:r>
      <w:r w:rsidRPr="00180B02">
        <w:rPr>
          <w:rFonts w:cstheme="minorHAnsi"/>
          <w:color w:val="FF0000"/>
        </w:rPr>
        <w:t>large fraction of the post-1990 capelin population</w:t>
      </w:r>
      <w:r w:rsidRPr="00180B02">
        <w:rPr>
          <w:rFonts w:cstheme="minorHAnsi"/>
          <w:color w:val="FF0000"/>
          <w:u w:val="single"/>
        </w:rPr>
        <w:t xml:space="preserve"> </w:t>
      </w:r>
      <w:r w:rsidRPr="00180B02">
        <w:rPr>
          <w:rFonts w:cstheme="minorHAnsi"/>
          <w:color w:val="FF0000"/>
        </w:rPr>
        <w:t xml:space="preserve">became coastal residents of the major </w:t>
      </w:r>
      <w:proofErr w:type="spellStart"/>
      <w:r w:rsidRPr="00180B02">
        <w:rPr>
          <w:rFonts w:cstheme="minorHAnsi"/>
          <w:color w:val="FF0000"/>
        </w:rPr>
        <w:t>embayments</w:t>
      </w:r>
      <w:proofErr w:type="spellEnd"/>
      <w:r w:rsidRPr="00180B02">
        <w:rPr>
          <w:rFonts w:cstheme="minorHAnsi"/>
          <w:color w:val="FF0000"/>
        </w:rPr>
        <w:t xml:space="preserve"> of</w:t>
      </w:r>
      <w:r w:rsidRPr="00180B02">
        <w:rPr>
          <w:rFonts w:cstheme="minorHAnsi"/>
          <w:color w:val="FF0000"/>
          <w:u w:val="single"/>
        </w:rPr>
        <w:t xml:space="preserve"> </w:t>
      </w:r>
      <w:r w:rsidRPr="00180B02">
        <w:rPr>
          <w:rFonts w:cstheme="minorHAnsi"/>
          <w:color w:val="FF0000"/>
        </w:rPr>
        <w:t>eastern NL (i.e. from White Bay in the north to</w:t>
      </w:r>
      <w:r w:rsidRPr="00180B02">
        <w:rPr>
          <w:rFonts w:cstheme="minorHAnsi"/>
          <w:color w:val="FF0000"/>
          <w:u w:val="single"/>
        </w:rPr>
        <w:t xml:space="preserve"> </w:t>
      </w:r>
      <w:r w:rsidRPr="00180B02">
        <w:rPr>
          <w:rFonts w:cstheme="minorHAnsi"/>
          <w:color w:val="FF0000"/>
        </w:rPr>
        <w:t>Placentia Bay in the south), noticeable reductions in</w:t>
      </w:r>
      <w:r w:rsidRPr="00180B02">
        <w:rPr>
          <w:rFonts w:cstheme="minorHAnsi"/>
          <w:color w:val="FF0000"/>
        </w:rPr>
        <w:t xml:space="preserve"> </w:t>
      </w:r>
      <w:r w:rsidRPr="00180B02">
        <w:rPr>
          <w:rFonts w:cstheme="minorHAnsi"/>
          <w:color w:val="FF0000"/>
        </w:rPr>
        <w:t>condition, growth, maturation timing and eventually</w:t>
      </w:r>
      <w:r w:rsidRPr="00180B02">
        <w:rPr>
          <w:rFonts w:cstheme="minorHAnsi"/>
          <w:color w:val="FF0000"/>
          <w:u w:val="single"/>
        </w:rPr>
        <w:t xml:space="preserve"> </w:t>
      </w:r>
      <w:r w:rsidRPr="00180B02">
        <w:rPr>
          <w:rFonts w:cstheme="minorHAnsi"/>
          <w:color w:val="FF0000"/>
        </w:rPr>
        <w:t>population size would be expected.</w:t>
      </w:r>
      <w:r w:rsidRPr="00180B02">
        <w:rPr>
          <w:rFonts w:cstheme="minorHAnsi"/>
          <w:color w:val="FF0000"/>
        </w:rPr>
        <w:t xml:space="preserve">”  </w:t>
      </w:r>
    </w:p>
    <w:p w:rsidR="00747C6F" w:rsidRPr="00180B02" w:rsidRDefault="00747C6F" w:rsidP="0077520E">
      <w:pPr>
        <w:ind w:left="2160"/>
        <w:rPr>
          <w:rFonts w:cstheme="minorHAnsi"/>
          <w:b/>
          <w:color w:val="FF0000"/>
          <w:u w:val="single"/>
        </w:rPr>
      </w:pPr>
      <w:r w:rsidRPr="00180B02">
        <w:rPr>
          <w:rFonts w:cstheme="minorHAnsi"/>
          <w:b/>
          <w:color w:val="FF0000"/>
          <w:u w:val="single"/>
        </w:rPr>
        <w:t>Literature Cited</w:t>
      </w:r>
    </w:p>
    <w:p w:rsidR="00747C6F" w:rsidRPr="00180B02" w:rsidRDefault="00747C6F" w:rsidP="00747C6F">
      <w:pPr>
        <w:ind w:left="2160"/>
        <w:rPr>
          <w:rFonts w:cstheme="minorHAnsi"/>
          <w:color w:val="FF0000"/>
          <w:u w:val="single"/>
        </w:rPr>
      </w:pPr>
      <w:r w:rsidRPr="00180B02">
        <w:rPr>
          <w:rFonts w:cstheme="minorHAnsi"/>
          <w:color w:val="FF0000"/>
          <w:u w:val="single"/>
        </w:rPr>
        <w:t>Hare and Mantua 2000).</w:t>
      </w:r>
    </w:p>
    <w:p w:rsidR="00747C6F" w:rsidRDefault="00747C6F" w:rsidP="0077520E">
      <w:pPr>
        <w:ind w:left="2160"/>
        <w:rPr>
          <w:u w:val="single"/>
        </w:rPr>
      </w:pPr>
    </w:p>
    <w:p w:rsidR="00FB71BD" w:rsidRPr="00FB71BD" w:rsidRDefault="00FB71BD" w:rsidP="0077520E">
      <w:pPr>
        <w:ind w:left="2160"/>
        <w:rPr>
          <w:highlight w:val="yellow"/>
          <w:u w:val="single"/>
        </w:rPr>
      </w:pPr>
      <w:r w:rsidRPr="00FB71BD">
        <w:rPr>
          <w:highlight w:val="yellow"/>
          <w:u w:val="single"/>
          <w:lang w:val="en-US"/>
        </w:rPr>
        <w:t>PAUL: inshore capelin density in ‘blind spots’</w:t>
      </w:r>
    </w:p>
    <w:p w:rsidR="00B65291" w:rsidRDefault="00B65291"/>
    <w:sectPr w:rsidR="00B65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A5AF2"/>
    <w:multiLevelType w:val="hybridMultilevel"/>
    <w:tmpl w:val="6C4ACDC6"/>
    <w:lvl w:ilvl="0" w:tplc="B48C04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C002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6386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72E53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60C15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F6D8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A48DC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4AE92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7E3E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766C6"/>
    <w:multiLevelType w:val="hybridMultilevel"/>
    <w:tmpl w:val="2B524624"/>
    <w:lvl w:ilvl="0" w:tplc="5204B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D2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543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6B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0C9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DA6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CD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EB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4F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91"/>
    <w:rsid w:val="000E4353"/>
    <w:rsid w:val="001104D4"/>
    <w:rsid w:val="00173C2D"/>
    <w:rsid w:val="00176042"/>
    <w:rsid w:val="00180B02"/>
    <w:rsid w:val="002C6161"/>
    <w:rsid w:val="002E4B74"/>
    <w:rsid w:val="0034251E"/>
    <w:rsid w:val="00354F50"/>
    <w:rsid w:val="0037320A"/>
    <w:rsid w:val="00483538"/>
    <w:rsid w:val="0054724C"/>
    <w:rsid w:val="00565ED8"/>
    <w:rsid w:val="006C59DB"/>
    <w:rsid w:val="00747C6F"/>
    <w:rsid w:val="0076489B"/>
    <w:rsid w:val="0077520E"/>
    <w:rsid w:val="007F777E"/>
    <w:rsid w:val="008114BA"/>
    <w:rsid w:val="009043B0"/>
    <w:rsid w:val="00987F9B"/>
    <w:rsid w:val="009D57F0"/>
    <w:rsid w:val="009E34E0"/>
    <w:rsid w:val="00A860F6"/>
    <w:rsid w:val="00B65291"/>
    <w:rsid w:val="00B70528"/>
    <w:rsid w:val="00B83272"/>
    <w:rsid w:val="00BB3F80"/>
    <w:rsid w:val="00BC300A"/>
    <w:rsid w:val="00C51001"/>
    <w:rsid w:val="00C52400"/>
    <w:rsid w:val="00CD2163"/>
    <w:rsid w:val="00CD359C"/>
    <w:rsid w:val="00D152CA"/>
    <w:rsid w:val="00DC7857"/>
    <w:rsid w:val="00E12444"/>
    <w:rsid w:val="00E43E5B"/>
    <w:rsid w:val="00E95DD3"/>
    <w:rsid w:val="00EB1962"/>
    <w:rsid w:val="00F15E1D"/>
    <w:rsid w:val="00F426E9"/>
    <w:rsid w:val="00F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28A2D-3D60-43ED-894F-FE5F528B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1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347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950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402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71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80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46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54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3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3630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19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723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635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493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5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Buren</dc:creator>
  <cp:lastModifiedBy>Montevecchi, William</cp:lastModifiedBy>
  <cp:revision>2</cp:revision>
  <dcterms:created xsi:type="dcterms:W3CDTF">2018-02-02T18:56:00Z</dcterms:created>
  <dcterms:modified xsi:type="dcterms:W3CDTF">2018-02-02T18:56:00Z</dcterms:modified>
</cp:coreProperties>
</file>