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E10" w:rsidRDefault="00A04698" w:rsidP="00356E10">
      <w:r>
        <w:t>Survey index replies:</w:t>
      </w:r>
    </w:p>
    <w:p w:rsidR="00356E10" w:rsidRDefault="00356E10" w:rsidP="003D3437">
      <w:pPr>
        <w:pStyle w:val="ListParagraph"/>
        <w:numPr>
          <w:ilvl w:val="0"/>
          <w:numId w:val="2"/>
        </w:numPr>
      </w:pPr>
      <w:r>
        <w:t xml:space="preserve">Migration timing mismatch hypothesis </w:t>
      </w:r>
      <w:proofErr w:type="gramStart"/>
      <w:r>
        <w:t xml:space="preserve">- </w:t>
      </w:r>
      <w:r w:rsidRPr="00356E10">
        <w:t xml:space="preserve"> </w:t>
      </w:r>
      <w:r>
        <w:t>Spring</w:t>
      </w:r>
      <w:proofErr w:type="gramEnd"/>
      <w:r>
        <w:t xml:space="preserve"> 3L survey abundance has been driven by numbers of immature fish</w:t>
      </w:r>
      <w:r w:rsidR="003D3437">
        <w:t xml:space="preserve">.  These fish are not likely to be undergoing </w:t>
      </w:r>
      <w:r>
        <w:t>spawning migration</w:t>
      </w:r>
      <w:r w:rsidR="003D3437">
        <w:t>s</w:t>
      </w:r>
      <w:r>
        <w:t>.  The shift in maturity composition seen post 1992 is a result of increase in maturing age 2 fish.</w:t>
      </w:r>
      <w:r w:rsidR="003D3437">
        <w:t xml:space="preserve">  NAFO </w:t>
      </w:r>
      <w:proofErr w:type="spellStart"/>
      <w:r w:rsidR="003D3437">
        <w:t>Div</w:t>
      </w:r>
      <w:proofErr w:type="spellEnd"/>
      <w:r w:rsidR="003D3437">
        <w:t xml:space="preserve"> 3L (survey) is primary area for fish of a certain size.  </w:t>
      </w:r>
    </w:p>
    <w:p w:rsidR="00356E10" w:rsidRDefault="00356E10" w:rsidP="00356E10">
      <w:r>
        <w:rPr>
          <w:noProof/>
          <w:lang w:eastAsia="en-CA"/>
        </w:rPr>
        <w:drawing>
          <wp:inline distT="0" distB="0" distL="0" distR="0" wp14:anchorId="44C0FF7A" wp14:editId="4D1CC8DC">
            <wp:extent cx="5514975" cy="2724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56E10" w:rsidRDefault="00356E10" w:rsidP="003D3437">
      <w:pPr>
        <w:pStyle w:val="ListParagraph"/>
        <w:numPr>
          <w:ilvl w:val="0"/>
          <w:numId w:val="1"/>
        </w:numPr>
      </w:pPr>
      <w:r>
        <w:t>Declines in spring numbers would have to reflect a change in migration of immature fish</w:t>
      </w:r>
    </w:p>
    <w:p w:rsidR="00356E10" w:rsidRDefault="00356E10" w:rsidP="00356E10">
      <w:pPr>
        <w:pStyle w:val="ListParagraph"/>
      </w:pPr>
      <w:r>
        <w:t>Seasonal surveys in Trinity Bay in 2000s revealed no large overwintering aggregations, although most overwintering fish were juveniles.  There is some evidence of shifting of biomass between bays and offshore, however inshore abundance not near the lost 6 million</w:t>
      </w:r>
    </w:p>
    <w:p w:rsidR="00356E10" w:rsidRDefault="00356E10" w:rsidP="00356E10">
      <w:pPr>
        <w:pStyle w:val="ListParagraph"/>
      </w:pPr>
    </w:p>
    <w:p w:rsidR="00356E10" w:rsidRDefault="005E06FE" w:rsidP="00356E10">
      <w:pPr>
        <w:pStyle w:val="ListParagraph"/>
      </w:pPr>
      <w:r>
        <w:rPr>
          <w:noProof/>
          <w:lang w:eastAsia="en-CA"/>
        </w:rPr>
        <w:drawing>
          <wp:inline distT="0" distB="0" distL="0" distR="0" wp14:anchorId="43241BE4" wp14:editId="77F8F15D">
            <wp:extent cx="5314950" cy="25527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56E10" w:rsidRDefault="00356E10" w:rsidP="00356E10"/>
    <w:p w:rsidR="00356E10" w:rsidRDefault="003D3437" w:rsidP="003D3437">
      <w:pPr>
        <w:pStyle w:val="ListParagraph"/>
        <w:numPr>
          <w:ilvl w:val="0"/>
          <w:numId w:val="1"/>
        </w:numPr>
      </w:pPr>
      <w:r>
        <w:lastRenderedPageBreak/>
        <w:t>Southerly shift in distribution coincident with environmental variables but also truncated age composition.</w:t>
      </w:r>
    </w:p>
    <w:p w:rsidR="003D3437" w:rsidRDefault="003D3437" w:rsidP="003D3437">
      <w:pPr>
        <w:pStyle w:val="ListParagraph"/>
        <w:numPr>
          <w:ilvl w:val="0"/>
          <w:numId w:val="1"/>
        </w:numPr>
      </w:pPr>
      <w:r>
        <w:t>Spring surveys repeated in June in two years (1991 and 2003).  In both cases the biomass intercepted was not significantly different from the May survey.</w:t>
      </w:r>
      <w:r w:rsidR="00A04698">
        <w:t xml:space="preserve"> Coincident surveys north and south of the survey area in 2010 located little capelin. </w:t>
      </w:r>
    </w:p>
    <w:p w:rsidR="003D3437" w:rsidRDefault="003D3437" w:rsidP="003D3437">
      <w:pPr>
        <w:pStyle w:val="ListParagraph"/>
        <w:numPr>
          <w:ilvl w:val="0"/>
          <w:numId w:val="1"/>
        </w:numPr>
      </w:pPr>
      <w:r>
        <w:t xml:space="preserve">Multi-stock comparisons.  </w:t>
      </w:r>
      <w:r w:rsidR="00A04698">
        <w:t>Norwegian</w:t>
      </w:r>
      <w:r>
        <w:t xml:space="preserve"> survey is for both immature and recovering fish.  Fixed in time.  Icelandic survey has temporally fixed survey for immature fish and separate survey for pre-spawning aggregations.  It is the survey for the pre-spawning </w:t>
      </w:r>
      <w:proofErr w:type="gramStart"/>
      <w:r>
        <w:t>adults which is</w:t>
      </w:r>
      <w:proofErr w:type="gramEnd"/>
      <w:r>
        <w:t xml:space="preserve"> frequently repeated as migration routes vary.</w:t>
      </w:r>
    </w:p>
    <w:p w:rsidR="003D3437" w:rsidRDefault="00A04698" w:rsidP="003D3437">
      <w:pPr>
        <w:pStyle w:val="ListParagraph"/>
        <w:numPr>
          <w:ilvl w:val="0"/>
          <w:numId w:val="1"/>
        </w:numPr>
      </w:pPr>
      <w:r>
        <w:t>Occurrence in fall 2J3K acoustic survey occurred year prior to spring survey decline.  This is consistent with a mortality event occurring in the maturing population, as per mechanism suggested in Buren et al.</w:t>
      </w:r>
    </w:p>
    <w:p w:rsidR="00A04698" w:rsidRDefault="00A04698" w:rsidP="00A04698">
      <w:pPr>
        <w:pStyle w:val="ListParagraph"/>
      </w:pPr>
    </w:p>
    <w:p w:rsidR="00A04698" w:rsidRDefault="00A04698" w:rsidP="00A04698">
      <w:pPr>
        <w:pStyle w:val="ListParagraph"/>
      </w:pPr>
    </w:p>
    <w:p w:rsidR="00A04698" w:rsidRPr="00356E10" w:rsidRDefault="00A04698" w:rsidP="00A04698">
      <w:pPr>
        <w:pStyle w:val="ListParagraph"/>
      </w:pPr>
      <w:bookmarkStart w:id="0" w:name="_GoBack"/>
      <w:bookmarkEnd w:id="0"/>
      <w:r>
        <w:rPr>
          <w:noProof/>
          <w:lang w:eastAsia="en-CA"/>
        </w:rPr>
        <w:drawing>
          <wp:inline distT="0" distB="0" distL="0" distR="0" wp14:anchorId="6267129E" wp14:editId="2742167C">
            <wp:extent cx="5943600" cy="269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94940"/>
                    </a:xfrm>
                    <a:prstGeom prst="rect">
                      <a:avLst/>
                    </a:prstGeom>
                  </pic:spPr>
                </pic:pic>
              </a:graphicData>
            </a:graphic>
          </wp:inline>
        </w:drawing>
      </w:r>
    </w:p>
    <w:sectPr w:rsidR="00A04698" w:rsidRPr="00356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67D43"/>
    <w:multiLevelType w:val="hybridMultilevel"/>
    <w:tmpl w:val="864C8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FF03800"/>
    <w:multiLevelType w:val="hybridMultilevel"/>
    <w:tmpl w:val="B4D4C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E10"/>
    <w:rsid w:val="00356E10"/>
    <w:rsid w:val="003D3437"/>
    <w:rsid w:val="004B4944"/>
    <w:rsid w:val="005E06FE"/>
    <w:rsid w:val="00A046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E10"/>
    <w:rPr>
      <w:rFonts w:ascii="Tahoma" w:hAnsi="Tahoma" w:cs="Tahoma"/>
      <w:sz w:val="16"/>
      <w:szCs w:val="16"/>
    </w:rPr>
  </w:style>
  <w:style w:type="paragraph" w:styleId="ListParagraph">
    <w:name w:val="List Paragraph"/>
    <w:basedOn w:val="Normal"/>
    <w:uiPriority w:val="34"/>
    <w:qFormat/>
    <w:rsid w:val="00356E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E10"/>
    <w:rPr>
      <w:rFonts w:ascii="Tahoma" w:hAnsi="Tahoma" w:cs="Tahoma"/>
      <w:sz w:val="16"/>
      <w:szCs w:val="16"/>
    </w:rPr>
  </w:style>
  <w:style w:type="paragraph" w:styleId="ListParagraph">
    <w:name w:val="List Paragraph"/>
    <w:basedOn w:val="Normal"/>
    <w:uiPriority w:val="34"/>
    <w:qFormat/>
    <w:rsid w:val="00356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985738829278466"/>
          <c:y val="5.4511328227179488E-2"/>
          <c:w val="0.84512422993757907"/>
          <c:h val="0.68051759264357703"/>
        </c:manualLayout>
      </c:layout>
      <c:barChart>
        <c:barDir val="col"/>
        <c:grouping val="stacked"/>
        <c:varyColors val="0"/>
        <c:ser>
          <c:idx val="3"/>
          <c:order val="0"/>
          <c:tx>
            <c:strRef>
              <c:f>'Annual Summary (offshore)'!$Q$1</c:f>
              <c:strCache>
                <c:ptCount val="1"/>
                <c:pt idx="0">
                  <c:v>Imm all ages</c:v>
                </c:pt>
              </c:strCache>
            </c:strRef>
          </c:tx>
          <c:spPr>
            <a:solidFill>
              <a:srgbClr val="CCFFFF"/>
            </a:solidFill>
            <a:ln w="12700">
              <a:solidFill>
                <a:srgbClr val="000000"/>
              </a:solidFill>
              <a:prstDash val="solid"/>
            </a:ln>
          </c:spPr>
          <c:invertIfNegative val="0"/>
          <c:cat>
            <c:numRef>
              <c:f>'Annual Summary (offshore)'!$C$2:$C$31</c:f>
              <c:numCache>
                <c:formatCode>General</c:formatCode>
                <c:ptCount val="30"/>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numCache>
            </c:numRef>
          </c:cat>
          <c:val>
            <c:numRef>
              <c:f>'Annual Summary (offshore)'!$Q$2:$Q$31</c:f>
              <c:numCache>
                <c:formatCode>0.00</c:formatCode>
                <c:ptCount val="30"/>
                <c:pt idx="0">
                  <c:v>404.82267899999994</c:v>
                </c:pt>
                <c:pt idx="1">
                  <c:v>160.320672</c:v>
                </c:pt>
                <c:pt idx="2">
                  <c:v>88.66367853402916</c:v>
                </c:pt>
                <c:pt idx="3">
                  <c:v>388.51485439674542</c:v>
                </c:pt>
                <c:pt idx="4">
                  <c:v>327.64838479999997</c:v>
                </c:pt>
                <c:pt idx="5">
                  <c:v>422.64212859999998</c:v>
                </c:pt>
                <c:pt idx="6">
                  <c:v>7.6409151000000008</c:v>
                </c:pt>
                <c:pt idx="7">
                  <c:v>18.654904852000001</c:v>
                </c:pt>
                <c:pt idx="11">
                  <c:v>2.4031284489999996</c:v>
                </c:pt>
                <c:pt idx="14">
                  <c:v>5.1645799991121537</c:v>
                </c:pt>
                <c:pt idx="15">
                  <c:v>0</c:v>
                </c:pt>
                <c:pt idx="16">
                  <c:v>3.7000607039137416</c:v>
                </c:pt>
                <c:pt idx="17">
                  <c:v>1.0503759189155393</c:v>
                </c:pt>
                <c:pt idx="18">
                  <c:v>2.2804569267140149</c:v>
                </c:pt>
                <c:pt idx="19">
                  <c:v>4.8493359887396306</c:v>
                </c:pt>
                <c:pt idx="20">
                  <c:v>0.62252630753183735</c:v>
                </c:pt>
                <c:pt idx="22">
                  <c:v>9.4729511295239988</c:v>
                </c:pt>
                <c:pt idx="23">
                  <c:v>5.2726325740200002</c:v>
                </c:pt>
                <c:pt idx="24">
                  <c:v>8.0221601784060006</c:v>
                </c:pt>
                <c:pt idx="25">
                  <c:v>0.38974404711400007</c:v>
                </c:pt>
                <c:pt idx="26">
                  <c:v>4.9172914431255101</c:v>
                </c:pt>
                <c:pt idx="27">
                  <c:v>11.778015507773258</c:v>
                </c:pt>
              </c:numCache>
            </c:numRef>
          </c:val>
        </c:ser>
        <c:ser>
          <c:idx val="4"/>
          <c:order val="1"/>
          <c:tx>
            <c:strRef>
              <c:f>'Annual Summary (offshore)'!$W$1</c:f>
              <c:strCache>
                <c:ptCount val="1"/>
                <c:pt idx="0">
                  <c:v>maturing all ages</c:v>
                </c:pt>
              </c:strCache>
            </c:strRef>
          </c:tx>
          <c:spPr>
            <a:solidFill>
              <a:srgbClr val="660066"/>
            </a:solidFill>
            <a:ln w="12700">
              <a:solidFill>
                <a:srgbClr val="000000"/>
              </a:solidFill>
              <a:prstDash val="solid"/>
            </a:ln>
          </c:spPr>
          <c:invertIfNegative val="0"/>
          <c:cat>
            <c:numRef>
              <c:f>'Annual Summary (offshore)'!$C$2:$C$31</c:f>
              <c:numCache>
                <c:formatCode>General</c:formatCode>
                <c:ptCount val="30"/>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numCache>
            </c:numRef>
          </c:cat>
          <c:val>
            <c:numRef>
              <c:f>'Annual Summary (offshore)'!$W$2:$W$31</c:f>
              <c:numCache>
                <c:formatCode>General</c:formatCode>
                <c:ptCount val="30"/>
                <c:pt idx="0">
                  <c:v>51.228163000000002</c:v>
                </c:pt>
                <c:pt idx="1">
                  <c:v>79.418413999999984</c:v>
                </c:pt>
                <c:pt idx="2">
                  <c:v>60.637121465970822</c:v>
                </c:pt>
                <c:pt idx="3">
                  <c:v>83.585345603254581</c:v>
                </c:pt>
                <c:pt idx="4">
                  <c:v>95.310415200000008</c:v>
                </c:pt>
                <c:pt idx="5">
                  <c:v>156.20407140000003</c:v>
                </c:pt>
                <c:pt idx="6">
                  <c:v>3.7970848999999998</c:v>
                </c:pt>
                <c:pt idx="7">
                  <c:v>7.5899091479999985</c:v>
                </c:pt>
                <c:pt idx="8">
                  <c:v>0</c:v>
                </c:pt>
                <c:pt idx="9">
                  <c:v>0</c:v>
                </c:pt>
                <c:pt idx="10">
                  <c:v>0</c:v>
                </c:pt>
                <c:pt idx="11">
                  <c:v>2.2920285509999996</c:v>
                </c:pt>
                <c:pt idx="12">
                  <c:v>0</c:v>
                </c:pt>
                <c:pt idx="13">
                  <c:v>0</c:v>
                </c:pt>
                <c:pt idx="14">
                  <c:v>10.987300032176329</c:v>
                </c:pt>
                <c:pt idx="15">
                  <c:v>0</c:v>
                </c:pt>
                <c:pt idx="16">
                  <c:v>6.175760324414421</c:v>
                </c:pt>
                <c:pt idx="17">
                  <c:v>5.1391011777253084</c:v>
                </c:pt>
                <c:pt idx="18">
                  <c:v>4.5532292530364451</c:v>
                </c:pt>
                <c:pt idx="19">
                  <c:v>6.8450194992653381</c:v>
                </c:pt>
                <c:pt idx="20">
                  <c:v>5.2806536408283558</c:v>
                </c:pt>
                <c:pt idx="21">
                  <c:v>0</c:v>
                </c:pt>
                <c:pt idx="22">
                  <c:v>12.122776940476001</c:v>
                </c:pt>
                <c:pt idx="23">
                  <c:v>12.406227739979999</c:v>
                </c:pt>
                <c:pt idx="24">
                  <c:v>16.435022920593997</c:v>
                </c:pt>
                <c:pt idx="25">
                  <c:v>1.4529128098859998</c:v>
                </c:pt>
                <c:pt idx="26">
                  <c:v>10.929219605165875</c:v>
                </c:pt>
                <c:pt idx="27">
                  <c:v>8.9510799242154757</c:v>
                </c:pt>
                <c:pt idx="28">
                  <c:v>22.564</c:v>
                </c:pt>
                <c:pt idx="29">
                  <c:v>0</c:v>
                </c:pt>
              </c:numCache>
            </c:numRef>
          </c:val>
        </c:ser>
        <c:dLbls>
          <c:showLegendKey val="0"/>
          <c:showVal val="0"/>
          <c:showCatName val="0"/>
          <c:showSerName val="0"/>
          <c:showPercent val="0"/>
          <c:showBubbleSize val="0"/>
        </c:dLbls>
        <c:gapWidth val="150"/>
        <c:overlap val="100"/>
        <c:axId val="82161024"/>
        <c:axId val="81159296"/>
      </c:barChart>
      <c:catAx>
        <c:axId val="82161024"/>
        <c:scaling>
          <c:orientation val="minMax"/>
        </c:scaling>
        <c:delete val="0"/>
        <c:axPos val="b"/>
        <c:numFmt formatCode="General" sourceLinked="1"/>
        <c:majorTickMark val="out"/>
        <c:minorTickMark val="none"/>
        <c:tickLblPos val="nextTo"/>
        <c:spPr>
          <a:ln w="3175">
            <a:solidFill>
              <a:srgbClr val="000000"/>
            </a:solidFill>
            <a:prstDash val="solid"/>
          </a:ln>
        </c:spPr>
        <c:txPr>
          <a:bodyPr rot="-5400000" vert="horz"/>
          <a:lstStyle/>
          <a:p>
            <a:pPr>
              <a:defRPr sz="1325" b="0" i="0" u="none" strike="noStrike" baseline="0">
                <a:solidFill>
                  <a:srgbClr val="000000"/>
                </a:solidFill>
                <a:latin typeface="Arial"/>
                <a:ea typeface="Arial"/>
                <a:cs typeface="Arial"/>
              </a:defRPr>
            </a:pPr>
            <a:endParaRPr lang="en-US"/>
          </a:p>
        </c:txPr>
        <c:crossAx val="81159296"/>
        <c:crosses val="autoZero"/>
        <c:auto val="1"/>
        <c:lblAlgn val="ctr"/>
        <c:lblOffset val="100"/>
        <c:tickLblSkip val="2"/>
        <c:tickMarkSkip val="1"/>
        <c:noMultiLvlLbl val="0"/>
      </c:catAx>
      <c:valAx>
        <c:axId val="81159296"/>
        <c:scaling>
          <c:orientation val="minMax"/>
        </c:scaling>
        <c:delete val="0"/>
        <c:axPos val="l"/>
        <c:majorGridlines>
          <c:spPr>
            <a:ln w="3175">
              <a:solidFill>
                <a:srgbClr val="C0C0C0"/>
              </a:solidFill>
              <a:prstDash val="sysDash"/>
            </a:ln>
          </c:spPr>
        </c:majorGridlines>
        <c:title>
          <c:tx>
            <c:rich>
              <a:bodyPr/>
              <a:lstStyle/>
              <a:p>
                <a:pPr>
                  <a:defRPr sz="1325" b="1" i="0" u="none" strike="noStrike" baseline="0">
                    <a:solidFill>
                      <a:srgbClr val="000000"/>
                    </a:solidFill>
                    <a:latin typeface="Arial"/>
                    <a:ea typeface="Arial"/>
                    <a:cs typeface="Arial"/>
                  </a:defRPr>
                </a:pPr>
                <a:r>
                  <a:rPr lang="en-CA"/>
                  <a:t>Numer at age (billions)</a:t>
                </a:r>
              </a:p>
            </c:rich>
          </c:tx>
          <c:layout>
            <c:manualLayout>
              <c:xMode val="edge"/>
              <c:yMode val="edge"/>
              <c:x val="6.7750041883062493E-3"/>
              <c:y val="0.1287429247062967"/>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Arial"/>
                <a:ea typeface="Arial"/>
                <a:cs typeface="Arial"/>
              </a:defRPr>
            </a:pPr>
            <a:endParaRPr lang="en-US"/>
          </a:p>
        </c:txPr>
        <c:crossAx val="82161024"/>
        <c:crosses val="autoZero"/>
        <c:crossBetween val="between"/>
      </c:valAx>
      <c:spPr>
        <a:noFill/>
        <a:ln w="12700">
          <a:solidFill>
            <a:srgbClr val="808080"/>
          </a:solidFill>
          <a:prstDash val="solid"/>
        </a:ln>
      </c:spPr>
    </c:plotArea>
    <c:legend>
      <c:legendPos val="r"/>
      <c:layout>
        <c:manualLayout>
          <c:xMode val="edge"/>
          <c:yMode val="edge"/>
          <c:x val="0.61577010633370455"/>
          <c:y val="0.13157907977157807"/>
          <c:w val="0.2729377739699636"/>
          <c:h val="0.32518829714975722"/>
        </c:manualLayout>
      </c:layout>
      <c:overlay val="0"/>
      <c:spPr>
        <a:solidFill>
          <a:srgbClr val="FFFFFF"/>
        </a:solidFill>
        <a:ln w="3175">
          <a:solidFill>
            <a:srgbClr val="000000"/>
          </a:solidFill>
          <a:prstDash val="solid"/>
        </a:ln>
      </c:spPr>
      <c:txPr>
        <a:bodyPr/>
        <a:lstStyle/>
        <a:p>
          <a:pPr>
            <a:defRPr sz="118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420048455481527"/>
          <c:y val="4.347832924203849E-2"/>
          <c:w val="0.68085385961370204"/>
          <c:h val="0.7414128789456873"/>
        </c:manualLayout>
      </c:layout>
      <c:lineChart>
        <c:grouping val="standard"/>
        <c:varyColors val="0"/>
        <c:ser>
          <c:idx val="1"/>
          <c:order val="0"/>
          <c:tx>
            <c:strRef>
              <c:f>graphs!$T$2</c:f>
              <c:strCache>
                <c:ptCount val="1"/>
                <c:pt idx="0">
                  <c:v>biomass (g *109)</c:v>
                </c:pt>
              </c:strCache>
            </c:strRef>
          </c:tx>
          <c:spPr>
            <a:ln w="12700">
              <a:solidFill>
                <a:srgbClr val="FF0000"/>
              </a:solidFill>
              <a:prstDash val="solid"/>
            </a:ln>
          </c:spPr>
          <c:marker>
            <c:symbol val="circle"/>
            <c:size val="8"/>
            <c:spPr>
              <a:solidFill>
                <a:srgbClr val="FF0000"/>
              </a:solidFill>
              <a:ln>
                <a:solidFill>
                  <a:srgbClr val="FF6600"/>
                </a:solidFill>
                <a:prstDash val="solid"/>
              </a:ln>
            </c:spPr>
          </c:marker>
          <c:cat>
            <c:numRef>
              <c:f>graphs!$A$17:$A$35</c:f>
              <c:numCache>
                <c:formatCode>General</c:formatCode>
                <c:ptCount val="19"/>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numCache>
            </c:numRef>
          </c:cat>
          <c:val>
            <c:numRef>
              <c:f>graphs!$T$17:$T$35</c:f>
              <c:numCache>
                <c:formatCode>General</c:formatCode>
                <c:ptCount val="19"/>
                <c:pt idx="0">
                  <c:v>64</c:v>
                </c:pt>
                <c:pt idx="3" formatCode="0.0">
                  <c:v>216.30545447319437</c:v>
                </c:pt>
                <c:pt idx="4" formatCode="0.0">
                  <c:v>124.74977848998033</c:v>
                </c:pt>
                <c:pt idx="5" formatCode="0.0">
                  <c:v>129.41885726665353</c:v>
                </c:pt>
                <c:pt idx="6" formatCode="0.0">
                  <c:v>83.865016448557427</c:v>
                </c:pt>
                <c:pt idx="7" formatCode="0.0">
                  <c:v>108.13910917210923</c:v>
                </c:pt>
                <c:pt idx="8" formatCode="0.0">
                  <c:v>125.15963663769749</c:v>
                </c:pt>
                <c:pt idx="9" formatCode="0.0">
                  <c:v>98.073814690821735</c:v>
                </c:pt>
                <c:pt idx="11" formatCode="0.0">
                  <c:v>300.47718434017946</c:v>
                </c:pt>
                <c:pt idx="12" formatCode="0.0">
                  <c:v>262.85500204694961</c:v>
                </c:pt>
                <c:pt idx="13" formatCode="0.0">
                  <c:v>262.16638724987791</c:v>
                </c:pt>
                <c:pt idx="14" formatCode="0.0">
                  <c:v>23.229830220979022</c:v>
                </c:pt>
                <c:pt idx="15" formatCode="0.0">
                  <c:v>209.64570212735831</c:v>
                </c:pt>
                <c:pt idx="16" formatCode="0.0">
                  <c:v>205.76128530349743</c:v>
                </c:pt>
                <c:pt idx="17" formatCode="0.0">
                  <c:v>762.84330641017709</c:v>
                </c:pt>
                <c:pt idx="18" formatCode="0.0">
                  <c:v>982.85487536432333</c:v>
                </c:pt>
              </c:numCache>
            </c:numRef>
          </c:val>
          <c:smooth val="0"/>
        </c:ser>
        <c:ser>
          <c:idx val="0"/>
          <c:order val="1"/>
          <c:tx>
            <c:strRef>
              <c:f>graphs!$W$2</c:f>
              <c:strCache>
                <c:ptCount val="1"/>
                <c:pt idx="0">
                  <c:v>Trinity Bay</c:v>
                </c:pt>
              </c:strCache>
            </c:strRef>
          </c:tx>
          <c:spPr>
            <a:ln w="25400">
              <a:solidFill>
                <a:srgbClr val="00FF00"/>
              </a:solidFill>
              <a:prstDash val="solid"/>
            </a:ln>
          </c:spPr>
          <c:marker>
            <c:symbol val="circle"/>
            <c:size val="7"/>
            <c:spPr>
              <a:solidFill>
                <a:srgbClr val="00FF00"/>
              </a:solidFill>
              <a:ln w="9525">
                <a:noFill/>
              </a:ln>
            </c:spPr>
          </c:marker>
          <c:cat>
            <c:numRef>
              <c:f>graphs!$A$17:$A$35</c:f>
              <c:numCache>
                <c:formatCode>General</c:formatCode>
                <c:ptCount val="19"/>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numCache>
            </c:numRef>
          </c:cat>
          <c:val>
            <c:numRef>
              <c:f>graphs!$W$17:$W$34</c:f>
              <c:numCache>
                <c:formatCode>General</c:formatCode>
                <c:ptCount val="18"/>
                <c:pt idx="0" formatCode="0.000">
                  <c:v>22.218</c:v>
                </c:pt>
                <c:pt idx="3" formatCode="0.000">
                  <c:v>19.201292943353252</c:v>
                </c:pt>
                <c:pt idx="4" formatCode="0.000">
                  <c:v>90.98363956405548</c:v>
                </c:pt>
                <c:pt idx="5" formatCode="0.000">
                  <c:v>60.251075728752362</c:v>
                </c:pt>
                <c:pt idx="6" formatCode="0.000">
                  <c:v>10.649275746343903</c:v>
                </c:pt>
                <c:pt idx="7" formatCode="0.000">
                  <c:v>12.14395855053381</c:v>
                </c:pt>
                <c:pt idx="8" formatCode="0.000">
                  <c:v>5.6479356206571909</c:v>
                </c:pt>
                <c:pt idx="9" formatCode="0.000">
                  <c:v>37.014859533853212</c:v>
                </c:pt>
                <c:pt idx="11" formatCode="0.000">
                  <c:v>12.05916443236784</c:v>
                </c:pt>
                <c:pt idx="12" formatCode="0.000">
                  <c:v>53.996646091725694</c:v>
                </c:pt>
                <c:pt idx="13" formatCode="0.000">
                  <c:v>17.649999999999999</c:v>
                </c:pt>
                <c:pt idx="14" formatCode="0.000">
                  <c:v>15.995804776526001</c:v>
                </c:pt>
                <c:pt idx="15" formatCode="#,##0.000">
                  <c:v>47.337000000000003</c:v>
                </c:pt>
                <c:pt idx="16" formatCode="0.000">
                  <c:v>16.443000000000001</c:v>
                </c:pt>
                <c:pt idx="17">
                  <c:v>3.3736895099432198</c:v>
                </c:pt>
              </c:numCache>
            </c:numRef>
          </c:val>
          <c:smooth val="0"/>
        </c:ser>
        <c:dLbls>
          <c:showLegendKey val="0"/>
          <c:showVal val="0"/>
          <c:showCatName val="0"/>
          <c:showSerName val="0"/>
          <c:showPercent val="0"/>
          <c:showBubbleSize val="0"/>
        </c:dLbls>
        <c:marker val="1"/>
        <c:smooth val="0"/>
        <c:axId val="82183680"/>
        <c:axId val="82185600"/>
      </c:lineChart>
      <c:catAx>
        <c:axId val="82183680"/>
        <c:scaling>
          <c:orientation val="minMax"/>
        </c:scaling>
        <c:delete val="0"/>
        <c:axPos val="b"/>
        <c:numFmt formatCode="General" sourceLinked="1"/>
        <c:majorTickMark val="out"/>
        <c:minorTickMark val="none"/>
        <c:tickLblPos val="nextTo"/>
        <c:spPr>
          <a:ln w="3175">
            <a:solidFill>
              <a:schemeClr val="tx1"/>
            </a:solidFill>
            <a:prstDash val="solid"/>
          </a:ln>
        </c:spPr>
        <c:txPr>
          <a:bodyPr rot="-5400000" vert="horz"/>
          <a:lstStyle/>
          <a:p>
            <a:pPr>
              <a:defRPr sz="1200" b="0" i="0" u="none" strike="noStrike" baseline="0">
                <a:solidFill>
                  <a:sysClr val="windowText" lastClr="000000"/>
                </a:solidFill>
                <a:latin typeface="Arial"/>
                <a:ea typeface="Arial"/>
                <a:cs typeface="Arial"/>
              </a:defRPr>
            </a:pPr>
            <a:endParaRPr lang="en-US"/>
          </a:p>
        </c:txPr>
        <c:crossAx val="82185600"/>
        <c:crossesAt val="0.1"/>
        <c:auto val="1"/>
        <c:lblAlgn val="ctr"/>
        <c:lblOffset val="100"/>
        <c:tickLblSkip val="2"/>
        <c:tickMarkSkip val="1"/>
        <c:noMultiLvlLbl val="0"/>
      </c:catAx>
      <c:valAx>
        <c:axId val="82185600"/>
        <c:scaling>
          <c:orientation val="minMax"/>
        </c:scaling>
        <c:delete val="0"/>
        <c:axPos val="l"/>
        <c:majorGridlines>
          <c:spPr>
            <a:ln w="3175">
              <a:solidFill>
                <a:srgbClr val="000000"/>
              </a:solidFill>
              <a:prstDash val="sysDash"/>
            </a:ln>
          </c:spPr>
        </c:majorGridlines>
        <c:title>
          <c:tx>
            <c:rich>
              <a:bodyPr/>
              <a:lstStyle/>
              <a:p>
                <a:pPr>
                  <a:defRPr sz="1200" b="1" i="0" u="none" strike="noStrike" baseline="0">
                    <a:solidFill>
                      <a:schemeClr val="tx1"/>
                    </a:solidFill>
                    <a:latin typeface="Arial"/>
                    <a:ea typeface="Arial"/>
                    <a:cs typeface="Arial"/>
                  </a:defRPr>
                </a:pPr>
                <a:r>
                  <a:rPr lang="en-CA" sz="1200" baseline="0">
                    <a:solidFill>
                      <a:schemeClr val="tx1"/>
                    </a:solidFill>
                  </a:rPr>
                  <a:t>Biomass (kilotonnes) </a:t>
                </a:r>
              </a:p>
            </c:rich>
          </c:tx>
          <c:layout>
            <c:manualLayout>
              <c:xMode val="edge"/>
              <c:yMode val="edge"/>
              <c:x val="1.0478497880072684E-3"/>
              <c:y val="7.9187323806746372E-3"/>
            </c:manualLayout>
          </c:layout>
          <c:overlay val="0"/>
          <c:spPr>
            <a:noFill/>
            <a:ln w="25400">
              <a:noFill/>
            </a:ln>
          </c:spPr>
        </c:title>
        <c:numFmt formatCode="0" sourceLinked="0"/>
        <c:majorTickMark val="out"/>
        <c:minorTickMark val="none"/>
        <c:tickLblPos val="nextTo"/>
        <c:spPr>
          <a:ln w="3175">
            <a:solidFill>
              <a:schemeClr val="tx1"/>
            </a:solidFill>
            <a:prstDash val="solid"/>
          </a:ln>
        </c:spPr>
        <c:txPr>
          <a:bodyPr rot="0" vert="horz"/>
          <a:lstStyle/>
          <a:p>
            <a:pPr>
              <a:defRPr sz="1200" b="0" i="0" u="none" strike="noStrike" baseline="0">
                <a:solidFill>
                  <a:sysClr val="windowText" lastClr="000000"/>
                </a:solidFill>
                <a:latin typeface="Arial"/>
                <a:ea typeface="Arial"/>
                <a:cs typeface="Arial"/>
              </a:defRPr>
            </a:pPr>
            <a:endParaRPr lang="en-US"/>
          </a:p>
        </c:txPr>
        <c:crossAx val="82183680"/>
        <c:crosses val="autoZero"/>
        <c:crossBetween val="between"/>
      </c:valAx>
      <c:spPr>
        <a:noFill/>
        <a:ln w="25400">
          <a:noFill/>
        </a:ln>
      </c:spPr>
    </c:plotArea>
    <c:plotVisOnly val="1"/>
    <c:dispBlanksAs val="gap"/>
    <c:showDLblsOverMax val="0"/>
  </c:chart>
  <c:spPr>
    <a:noFill/>
    <a:ln w="9525">
      <a:solidFill>
        <a:schemeClr val="tx1"/>
      </a:solidFill>
    </a:ln>
  </c:spPr>
  <c:txPr>
    <a:bodyPr/>
    <a:lstStyle/>
    <a:p>
      <a:pPr>
        <a:defRPr sz="1975" b="0" i="0" u="none" strike="noStrike" baseline="0">
          <a:solidFill>
            <a:srgbClr val="000000"/>
          </a:solidFill>
          <a:latin typeface="Arial"/>
          <a:ea typeface="Arial"/>
          <a:cs typeface="Aria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0.53213</cdr:x>
      <cdr:y>0.05862</cdr:y>
    </cdr:from>
    <cdr:to>
      <cdr:x>0.75215</cdr:x>
      <cdr:y>0.35635</cdr:y>
    </cdr:to>
    <cdr:sp macro="" textlink="">
      <cdr:nvSpPr>
        <cdr:cNvPr id="87041" name="Text Box 1"/>
        <cdr:cNvSpPr txBox="1">
          <a:spLocks xmlns:a="http://schemas.openxmlformats.org/drawingml/2006/main" noChangeArrowheads="1"/>
        </cdr:cNvSpPr>
      </cdr:nvSpPr>
      <cdr:spPr bwMode="auto">
        <a:xfrm xmlns:a="http://schemas.openxmlformats.org/drawingml/2006/main">
          <a:off x="4579616" y="331335"/>
          <a:ext cx="1837658" cy="1438744"/>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cdr:spPr>
      <cdr:txBody>
        <a:bodyPr xmlns:a="http://schemas.openxmlformats.org/drawingml/2006/main"/>
        <a:lstStyle xmlns:a="http://schemas.openxmlformats.org/drawingml/2006/main"/>
        <a:p xmlns:a="http://schemas.openxmlformats.org/drawingml/2006/main">
          <a:endParaRPr lang="en-CA"/>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cp:revision>
  <dcterms:created xsi:type="dcterms:W3CDTF">2016-12-21T01:01:00Z</dcterms:created>
  <dcterms:modified xsi:type="dcterms:W3CDTF">2016-12-21T01:43:00Z</dcterms:modified>
</cp:coreProperties>
</file>