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Estimativa de Esforço — MCP e IA para o dados.gov.pt</w:t>
      </w:r>
    </w:p>
    <w:p>
      <w:r>
        <w:rPr>
          <w:b/>
        </w:rPr>
        <w:t>Documento</w:t>
      </w:r>
      <w:r>
        <w:t>: Estimativa ROM (Rough Order of Magnitude)</w:t>
      </w:r>
    </w:p>
    <w:p>
      <w:r>
        <w:rPr>
          <w:b/>
        </w:rPr>
        <w:t>Âmbito</w:t>
      </w:r>
      <w:r>
        <w:t>: 1) Criar MCP sobre as APIs do portal · 2) Datasets normalizados para consumo analítico e IA · 3) Funcionalidades de IA para o portal</w:t>
      </w:r>
    </w:p>
    <w:p>
      <w:r>
        <w:rPr>
          <w:b/>
        </w:rPr>
        <w:t>Base de análise</w:t>
      </w:r>
      <w:r>
        <w:t>: codebase dadosgov (backend udata Flask+MongoDB+Elasticsearch; frontend Next.js 16)</w:t>
      </w:r>
    </w:p>
    <w:p>
      <w:r>
        <w:rPr>
          <w:b/>
        </w:rPr>
        <w:t>Data</w:t>
      </w:r>
      <w:r>
        <w:t>: 2026-06-23</w:t>
      </w:r>
    </w:p>
    <w:p>
      <w:pPr>
        <w:pStyle w:val="IntenseQuote"/>
      </w:pPr>
      <w:r>
        <w:t xml:space="preserve">Estimativa ROM com precisão de ±40%. Unidade: </w:t>
      </w:r>
      <w:r>
        <w:rPr>
          <w:b/>
        </w:rPr>
        <w:t>PD = pessoa-dia</w:t>
      </w:r>
      <w:r>
        <w:t xml:space="preserve"> (~21 PD por pessoa-mês). Para cada frente é apresentado um </w:t>
      </w:r>
      <w:r>
        <w:rPr>
          <w:b/>
        </w:rPr>
        <w:t>MVP</w:t>
      </w:r>
      <w:r>
        <w:t xml:space="preserve"> e um </w:t>
      </w:r>
      <w:r>
        <w:rPr>
          <w:b/>
        </w:rPr>
        <w:t>alvo completo</w:t>
      </w:r>
      <w:r>
        <w:t>. Não inclui provisionamento de cloud nem custos recorrentes de inferência LLM (OPEX), apenas esforço de desenvolvimento.</w:t>
      </w:r>
    </w:p>
    <w:p>
      <w:pPr>
        <w:pStyle w:val="Heading1"/>
      </w:pPr>
      <w:r>
        <w:t>1. Contexto técnico que sustenta a estimativa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Estado atual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Impacto</w:t>
            </w:r>
          </w:p>
        </w:tc>
      </w:tr>
      <w:tr>
        <w:tc>
          <w:tcPr>
            <w:tcW w:type="dxa" w:w="2880"/>
          </w:tcPr>
          <w:p>
            <w:r>
              <w:t>API REST</w:t>
            </w:r>
          </w:p>
        </w:tc>
        <w:tc>
          <w:tcPr>
            <w:tcW w:type="dxa" w:w="2880"/>
          </w:tcPr>
          <w:p>
            <w:r>
              <w:t>v1 + v2 documentada (Flask-RestX/Swagger), 7 entidades principais + search ES</w:t>
            </w:r>
          </w:p>
        </w:tc>
        <w:tc>
          <w:tcPr>
            <w:tcW w:type="dxa" w:w="2880"/>
          </w:tcPr>
          <w:p>
            <w:r>
              <w:t>Facilita o MCP (WS1)</w:t>
            </w:r>
          </w:p>
        </w:tc>
      </w:tr>
      <w:tr>
        <w:tc>
          <w:tcPr>
            <w:tcW w:type="dxa" w:w="2880"/>
          </w:tcPr>
          <w:p>
            <w:r>
              <w:t>Pesquisa</w:t>
            </w:r>
          </w:p>
        </w:tc>
        <w:tc>
          <w:tcPr>
            <w:tcW w:type="dxa" w:w="2880"/>
          </w:tcPr>
          <w:p>
            <w:r>
              <w:t xml:space="preserve">Elasticsearch 8 com analisador morfológico; </w:t>
            </w:r>
            <w:r>
              <w:rPr>
                <w:b/>
              </w:rPr>
              <w:t>sem vetorial/semântica</w:t>
            </w:r>
          </w:p>
        </w:tc>
        <w:tc>
          <w:tcPr>
            <w:tcW w:type="dxa" w:w="2880"/>
          </w:tcPr>
          <w:p>
            <w:r>
              <w:t>Vetorial é infra nova (WS2/WS3)</w:t>
            </w:r>
          </w:p>
        </w:tc>
      </w:tr>
      <w:tr>
        <w:tc>
          <w:tcPr>
            <w:tcW w:type="dxa" w:w="2880"/>
          </w:tcPr>
          <w:p>
            <w:r>
              <w:t>Dados</w:t>
            </w:r>
          </w:p>
        </w:tc>
        <w:tc>
          <w:tcPr>
            <w:tcW w:type="dxa" w:w="2880"/>
          </w:tcPr>
          <w:p>
            <w:r>
              <w:t>Resources heterogéneos (csv, xlsx, parquet, json, geo…); preview tabular via serviço externo</w:t>
            </w:r>
          </w:p>
        </w:tc>
        <w:tc>
          <w:tcPr>
            <w:tcW w:type="dxa" w:w="2880"/>
          </w:tcPr>
          <w:p>
            <w:r>
              <w:t xml:space="preserve">Conteúdo já normalizado pelo </w:t>
            </w:r>
            <w:r>
              <w:rPr>
                <w:b/>
              </w:rPr>
              <w:t>Hydra</w:t>
            </w:r>
            <w:r>
              <w:t xml:space="preserve"> (ver abaixo)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Hydra</w:t>
            </w:r>
          </w:p>
        </w:tc>
        <w:tc>
          <w:tcPr>
            <w:tcW w:type="dxa" w:w="2880"/>
          </w:tcPr>
          <w:p>
            <w:r>
              <w:t xml:space="preserve">Crawler/analisador de recursos do ecossistema udata: faz parsing dos ficheiros (deteção de tipos via csv-detective) e guarda o conteúdo numa BD consultável; já ligado via </w:t>
            </w:r>
            <w:r>
              <w:rPr>
                <w:rFonts w:ascii="Consolas" w:hAnsi="Consolas"/>
                <w:color w:val="C03421"/>
              </w:rPr>
              <w:t>TABULAR_EXPLORE_URL</w:t>
            </w:r>
            <w:r>
              <w:t xml:space="preserve"> (</w:t>
            </w:r>
            <w:r>
              <w:rPr>
                <w:rFonts w:ascii="Consolas" w:hAnsi="Consolas"/>
                <w:color w:val="C03421"/>
              </w:rPr>
              <w:t>TabularAPIPreview</w:t>
            </w:r>
            <w:r>
              <w:t>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Reduz drasticamente o WS2</w:t>
            </w:r>
            <w:r>
              <w:t xml:space="preserve"> — passa de *construir o pipeline* para *consumir o Hydra*</w:t>
            </w:r>
          </w:p>
        </w:tc>
      </w:tr>
      <w:tr>
        <w:tc>
          <w:tcPr>
            <w:tcW w:type="dxa" w:w="2880"/>
          </w:tcPr>
          <w:p>
            <w:r>
              <w:t>IA/LLM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Inexistente</w:t>
            </w:r>
            <w:r>
              <w:t xml:space="preserve"> em backend e frontend</w:t>
            </w:r>
          </w:p>
        </w:tc>
        <w:tc>
          <w:tcPr>
            <w:tcW w:type="dxa" w:w="2880"/>
          </w:tcPr>
          <w:p>
            <w:r>
              <w:t>Tudo é greenfield (prompts, guardrails, custos, eval)</w:t>
            </w:r>
          </w:p>
        </w:tc>
      </w:tr>
      <w:tr>
        <w:tc>
          <w:tcPr>
            <w:tcW w:type="dxa" w:w="2880"/>
          </w:tcPr>
          <w:p>
            <w:r>
              <w:t>Async/cache</w:t>
            </w:r>
          </w:p>
        </w:tc>
        <w:tc>
          <w:tcPr>
            <w:tcW w:type="dxa" w:w="2880"/>
          </w:tcPr>
          <w:p>
            <w:r>
              <w:t>Celery + Redis + Flask-Caching já em uso</w:t>
            </w:r>
          </w:p>
        </w:tc>
        <w:tc>
          <w:tcPr>
            <w:tcW w:type="dxa" w:w="2880"/>
          </w:tcPr>
          <w:p>
            <w:r>
              <w:t>Reaproveitável para a camada de consumo</w:t>
            </w:r>
          </w:p>
        </w:tc>
      </w:tr>
    </w:tbl>
    <w:p/>
    <w:p>
      <w:pPr>
        <w:pStyle w:val="IntenseQuote"/>
      </w:pPr>
      <w:r>
        <w:rPr>
          <w:b/>
        </w:rPr>
        <w:t>Decisão de arquitetura</w:t>
      </w:r>
      <w:r>
        <w:t xml:space="preserve">: todo o conteúdo dos ficheiros (recursos) dos datasets vive já no </w:t>
      </w:r>
      <w:r>
        <w:rPr>
          <w:b/>
        </w:rPr>
        <w:t>Hydra</w:t>
      </w:r>
      <w:r>
        <w:t xml:space="preserve">, e </w:t>
      </w:r>
      <w:r>
        <w:rPr>
          <w:b/>
        </w:rPr>
        <w:t>todas as consultas de dados feitas pela IA (via MCP) são executadas contra o Hydra</w:t>
      </w:r>
      <w:r>
        <w:t>. Não é construído um *store* analítico próprio nem um pipeline de ingestão/parsing — esse trabalho é fornecido pelo Hydra.</w:t>
      </w:r>
    </w:p>
    <w:p>
      <w:pPr>
        <w:pStyle w:val="Heading1"/>
      </w:pPr>
      <w:r>
        <w:t>2. WS1 — MCP sobre as APIs do portal</w:t>
      </w:r>
    </w:p>
    <w:p>
      <w:r>
        <w:t>Servidor MCP (Python, alinhado ao stack do backend) que expõe os endpoints públicos como *tools* read-only.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Bloco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PD</w:t>
            </w:r>
          </w:p>
        </w:tc>
      </w:tr>
      <w:tr>
        <w:tc>
          <w:tcPr>
            <w:tcW w:type="dxa" w:w="4320"/>
          </w:tcPr>
          <w:p>
            <w:r>
              <w:t>Scaffold MCP SDK + configuração (base URL, API key opcional)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Tools: datasets (search/get/resources)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Tools: organizations, reuses, dataservices, topics, spatial, tags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Tool de consulta de dados no Hydra</w:t>
            </w:r>
            <w:r>
              <w:t xml:space="preserve"> (filtros/agregações sobre o conteúdo dos recursos)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Paginação, rate-limit, normalização de erros, output token-efficient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MCP resources (navegação de catálogo) + prompts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Testes (unit + integração contra staging)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Packaging, Docker, deploy, CI, documentação de uso</w:t>
            </w:r>
          </w:p>
        </w:tc>
        <w:tc>
          <w:tcPr>
            <w:tcW w:type="dxa" w:w="4320"/>
          </w:tcPr>
          <w:p>
            <w:r>
              <w:t>3.5</w:t>
            </w:r>
          </w:p>
        </w:tc>
      </w:tr>
      <w:tr>
        <w:tc>
          <w:tcPr>
            <w:tcW w:type="dxa" w:w="4320"/>
          </w:tcPr>
          <w:p>
            <w:r>
              <w:t>Buffer/revisão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p/>
    <w:p>
      <w:pPr>
        <w:pStyle w:val="ListBullet"/>
      </w:pPr>
      <w:r>
        <w:rPr>
          <w:b/>
        </w:rPr>
        <w:t>MVP</w:t>
      </w:r>
      <w:r>
        <w:t xml:space="preserve"> (datasets + organizations + search + consulta Hydra): </w:t>
      </w:r>
      <w:r>
        <w:rPr>
          <w:b/>
        </w:rPr>
        <w:t>~16 PD</w:t>
      </w:r>
    </w:p>
    <w:p>
      <w:pPr>
        <w:pStyle w:val="ListBullet"/>
      </w:pPr>
      <w:r>
        <w:rPr>
          <w:b/>
        </w:rPr>
        <w:t>Completo</w:t>
      </w:r>
      <w:r>
        <w:t xml:space="preserve">: </w:t>
      </w:r>
      <w:r>
        <w:rPr>
          <w:b/>
        </w:rPr>
        <w:t>~28–32 PD</w:t>
      </w:r>
      <w:r>
        <w:t xml:space="preserve"> (≈ 6 semanas, 1 dev)</w:t>
      </w:r>
    </w:p>
    <w:p>
      <w:pPr>
        <w:pStyle w:val="ListBullet"/>
      </w:pPr>
      <w:r>
        <w:rPr>
          <w:b/>
        </w:rPr>
        <w:t>Risco</w:t>
      </w:r>
      <w:r>
        <w:t xml:space="preserve">: baixo · </w:t>
      </w:r>
      <w:r>
        <w:rPr>
          <w:b/>
        </w:rPr>
        <w:t>Dependências</w:t>
      </w:r>
      <w:r>
        <w:t>: acesso ao Hydra (WS2)</w:t>
      </w:r>
    </w:p>
    <w:p>
      <w:pPr>
        <w:pStyle w:val="Heading1"/>
      </w:pPr>
      <w:r>
        <w:t>3. WS2 — Camada de consumo analítico sobre o Hydra</w:t>
      </w:r>
    </w:p>
    <w:p>
      <w:r>
        <w:t xml:space="preserve">Como o </w:t>
      </w:r>
      <w:r>
        <w:rPr>
          <w:b/>
        </w:rPr>
        <w:t>Hydra já contém o conteúdo dos recursos parseado e tipado</w:t>
      </w:r>
      <w:r>
        <w:t xml:space="preserve">, esta frente deixa de incluir ingestão, parsing, deteção de schema, qualidade e *store* analítico (tudo fornecido pelo Hydra). O esforço concentra-se na </w:t>
      </w:r>
      <w:r>
        <w:rPr>
          <w:b/>
        </w:rPr>
        <w:t>camada de acesso/consulta</w:t>
      </w:r>
      <w:r>
        <w:t xml:space="preserve"> que a IA (MCP) usa para consultar o Hydra.</w:t>
      </w:r>
    </w:p>
    <w:p>
      <w:r>
        <w:rPr>
          <w:b/>
        </w:rPr>
        <w:t>Núcleo (obrigatório):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Fase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PD</w:t>
            </w:r>
          </w:p>
        </w:tc>
      </w:tr>
      <w:tr>
        <w:tc>
          <w:tcPr>
            <w:tcW w:type="dxa" w:w="4320"/>
          </w:tcPr>
          <w:p>
            <w:r>
              <w:t>A. Discovery: mapear schema/API do Hydra (tabular-api), modelo dos recursos parseados, autenticação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B. Conector/camada de acesso ao Hydra (query, filtros, agregações, paginação, segurança)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C. Exposição de dicionário de dados / metadados de colunas (a partir do csv-detective/Hydra)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D. Caching, rate-limit e monitoria sobre as queries ao Hydra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E. Testes, docs, hardening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p/>
    <w:p>
      <w:r>
        <w:rPr>
          <w:b/>
        </w:rPr>
        <w:t>Opcional (camada de IA sobre os dados):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Fase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PD</w:t>
            </w:r>
          </w:p>
        </w:tc>
      </w:tr>
      <w:tr>
        <w:tc>
          <w:tcPr>
            <w:tcW w:type="dxa" w:w="4320"/>
          </w:tcPr>
          <w:p>
            <w:r>
              <w:t>F. Embeddings de metadados/colunas + vector store (descoberta semântica)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G. Enriquecimento de metadados via LLM (descrições, tags, semântica de colunas)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</w:tbl>
    <w:p/>
    <w:p>
      <w:pPr>
        <w:pStyle w:val="ListBullet"/>
      </w:pPr>
      <w:r>
        <w:rPr>
          <w:b/>
        </w:rPr>
        <w:t>MVP</w:t>
      </w:r>
      <w:r>
        <w:t xml:space="preserve"> (apenas núcleo): </w:t>
      </w:r>
      <w:r>
        <w:rPr>
          <w:b/>
        </w:rPr>
        <w:t>~18 PD</w:t>
      </w:r>
    </w:p>
    <w:p>
      <w:pPr>
        <w:pStyle w:val="ListBullet"/>
      </w:pPr>
      <w:r>
        <w:rPr>
          <w:b/>
        </w:rPr>
        <w:t>Completo</w:t>
      </w:r>
      <w:r>
        <w:t xml:space="preserve"> (núcleo + opcionais): </w:t>
      </w:r>
      <w:r>
        <w:rPr>
          <w:b/>
        </w:rPr>
        <w:t>~28–32 PD</w:t>
      </w:r>
      <w:r>
        <w:t xml:space="preserve"> (≈ 1,5 pessoa-mês)</w:t>
      </w:r>
    </w:p>
    <w:p>
      <w:pPr>
        <w:pStyle w:val="ListBullet"/>
      </w:pPr>
      <w:r>
        <w:rPr>
          <w:b/>
        </w:rPr>
        <w:t>Risco</w:t>
      </w:r>
      <w:r>
        <w:t>: baixo-médio (depende da maturidade/cobertura do Hydra e da estabilidade da sua API)</w:t>
      </w:r>
    </w:p>
    <w:p>
      <w:pPr>
        <w:pStyle w:val="ListBullet"/>
      </w:pPr>
      <w:r>
        <w:rPr>
          <w:b/>
        </w:rPr>
        <w:t>Dependências</w:t>
      </w:r>
      <w:r>
        <w:t>: instância do Hydra disponível e acessível; vector store apenas se forem feitas as fases opcionais</w:t>
      </w:r>
    </w:p>
    <w:p>
      <w:pPr>
        <w:pStyle w:val="Heading1"/>
      </w:pPr>
      <w:r>
        <w:t>4. WS3 — Funcionalidades de IA no portal</w:t>
      </w:r>
    </w:p>
    <w:p>
      <w:r>
        <w:t>Backend + frontend (ambos greenfield em IA). Conjunto representativo de funcionalidades: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Funcionalidade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Backend (PD)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Frontend (PD)</w:t>
            </w:r>
          </w:p>
        </w:tc>
      </w:tr>
      <w:tr>
        <w:tc>
          <w:tcPr>
            <w:tcW w:type="dxa" w:w="2880"/>
          </w:tcPr>
          <w:p>
            <w:r>
              <w:t>Pesquisa semântica/híbrida (ES + vetores)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Assistente conversacional do catálogo (RAG sobre metadados + dados normalizados)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Recomendações ("datasets relacionados")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Resumos/auto-tags por LLM expostos na UI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Perguntas em linguagem natural sobre um dataset (NL→query contra o Hydra)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LLM-ops: gestão de prompts, guardrails, custos, cache, eval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Acessibilidade/i18n (PT) + design system Agora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Testes, docs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</w:tbl>
    <w:p/>
    <w:p>
      <w:pPr>
        <w:pStyle w:val="ListBullet"/>
      </w:pPr>
      <w:r>
        <w:rPr>
          <w:b/>
        </w:rPr>
        <w:t>MVP</w:t>
      </w:r>
      <w:r>
        <w:t xml:space="preserve"> (pesquisa semântica + assistente): </w:t>
      </w:r>
      <w:r>
        <w:rPr>
          <w:b/>
        </w:rPr>
        <w:t>~45 PD</w:t>
      </w:r>
    </w:p>
    <w:p>
      <w:pPr>
        <w:pStyle w:val="ListBullet"/>
      </w:pPr>
      <w:r>
        <w:rPr>
          <w:b/>
        </w:rPr>
        <w:t>Completo</w:t>
      </w:r>
      <w:r>
        <w:t xml:space="preserve">: </w:t>
      </w:r>
      <w:r>
        <w:rPr>
          <w:b/>
        </w:rPr>
        <w:t>~86–108 PD</w:t>
      </w:r>
      <w:r>
        <w:t xml:space="preserve"> (≈ 4–5 pessoa-meses)</w:t>
      </w:r>
    </w:p>
    <w:p>
      <w:pPr>
        <w:pStyle w:val="ListBullet"/>
      </w:pPr>
      <w:r>
        <w:rPr>
          <w:b/>
        </w:rPr>
        <w:t>Risco</w:t>
      </w:r>
      <w:r>
        <w:t>: médio-alto</w:t>
      </w:r>
    </w:p>
    <w:p>
      <w:pPr>
        <w:pStyle w:val="ListBullet"/>
      </w:pPr>
      <w:r>
        <w:rPr>
          <w:b/>
        </w:rPr>
        <w:t>Dependências fortes</w:t>
      </w:r>
      <w:r>
        <w:t>: Hydra + camada de acesso do WS2; idealmente o WS1 (o MCP alimenta o agente e executa as consultas no Hydra)</w:t>
      </w:r>
    </w:p>
    <w:p>
      <w:pPr>
        <w:pStyle w:val="Heading1"/>
      </w:pPr>
      <w:r>
        <w:t>5. Resumo e roadmap recomendado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Frente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MVP (PD)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Completo (PD)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Risco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Depende de</w:t>
            </w:r>
          </w:p>
        </w:tc>
      </w:tr>
      <w:tr>
        <w:tc>
          <w:tcPr>
            <w:tcW w:type="dxa" w:w="1728"/>
          </w:tcPr>
          <w:p>
            <w:r>
              <w:t>WS1 — MCP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28–32</w:t>
            </w:r>
          </w:p>
        </w:tc>
        <w:tc>
          <w:tcPr>
            <w:tcW w:type="dxa" w:w="1728"/>
          </w:tcPr>
          <w:p>
            <w:r>
              <w:t>Baixo</w:t>
            </w:r>
          </w:p>
        </w:tc>
        <w:tc>
          <w:tcPr>
            <w:tcW w:type="dxa" w:w="1728"/>
          </w:tcPr>
          <w:p>
            <w:r>
              <w:t>Hydra (WS2)</w:t>
            </w:r>
          </w:p>
        </w:tc>
      </w:tr>
      <w:tr>
        <w:tc>
          <w:tcPr>
            <w:tcW w:type="dxa" w:w="1728"/>
          </w:tcPr>
          <w:p>
            <w:r>
              <w:t>WS2 — Consumo analítico sobre o Hydra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28–32</w:t>
            </w:r>
          </w:p>
        </w:tc>
        <w:tc>
          <w:tcPr>
            <w:tcW w:type="dxa" w:w="1728"/>
          </w:tcPr>
          <w:p>
            <w:r>
              <w:t>Baixo-médio</w:t>
            </w:r>
          </w:p>
        </w:tc>
        <w:tc>
          <w:tcPr>
            <w:tcW w:type="dxa" w:w="1728"/>
          </w:tcPr>
          <w:p>
            <w:r>
              <w:t>Instância Hydra</w:t>
            </w:r>
          </w:p>
        </w:tc>
      </w:tr>
      <w:tr>
        <w:tc>
          <w:tcPr>
            <w:tcW w:type="dxa" w:w="1728"/>
          </w:tcPr>
          <w:p>
            <w:r>
              <w:t>WS3 — Features IA</w:t>
            </w:r>
          </w:p>
        </w:tc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86–108</w:t>
            </w:r>
          </w:p>
        </w:tc>
        <w:tc>
          <w:tcPr>
            <w:tcW w:type="dxa" w:w="1728"/>
          </w:tcPr>
          <w:p>
            <w:r>
              <w:t>Médio-alto</w:t>
            </w:r>
          </w:p>
        </w:tc>
        <w:tc>
          <w:tcPr>
            <w:tcW w:type="dxa" w:w="1728"/>
          </w:tcPr>
          <w:p>
            <w:r>
              <w:t>Hydra, WS2, WS1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~79 PD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~142–172 PD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/>
    <w:p>
      <w:pPr>
        <w:pStyle w:val="IntenseQuote"/>
      </w:pPr>
      <w:r>
        <w:rPr>
          <w:b/>
        </w:rPr>
        <w:t>Impacto do Hydra</w:t>
      </w:r>
      <w:r>
        <w:t xml:space="preserve">: a adoção do Hydra reduz o total completo de ~186–235 PD para </w:t>
      </w:r>
      <w:r>
        <w:rPr>
          <w:b/>
        </w:rPr>
        <w:t>~142–172 PD</w:t>
      </w:r>
      <w:r>
        <w:t xml:space="preserve"> (poupança de ~45–65 PD), elimina o maior foco de risco (pipeline de normalização próprio) e dispensa o provisionamento de *store* analítico/object storage para os dados.</w:t>
      </w:r>
    </w:p>
    <w:p>
      <w:pPr>
        <w:pStyle w:val="ListBullet"/>
      </w:pPr>
      <w:r>
        <w:rPr>
          <w:b/>
        </w:rPr>
        <w:t>Completo ≈ 142–172 PD ≈ 7–8 pessoa-meses.</w:t>
      </w:r>
      <w:r>
        <w:t xml:space="preserve"> Com equipa de </w:t>
      </w:r>
      <w:r>
        <w:rPr>
          <w:b/>
        </w:rPr>
        <w:t>3</w:t>
      </w:r>
      <w:r>
        <w:t xml:space="preserve"> (1 backend, 1 dados/ML, 1 frontend) → </w:t>
      </w:r>
      <w:r>
        <w:rPr>
          <w:b/>
        </w:rPr>
        <w:t>~3,5–4 meses de calendário</w:t>
      </w:r>
      <w:r>
        <w:t>.</w:t>
      </w:r>
    </w:p>
    <w:p>
      <w:pPr>
        <w:pStyle w:val="ListBullet"/>
      </w:pPr>
      <w:r>
        <w:rPr>
          <w:b/>
        </w:rPr>
        <w:t>Sequência sugerida</w:t>
      </w:r>
      <w:r>
        <w:t>: WS2 núcleo (camada de acesso ao Hydra — desbloqueia tudo) → WS1 (MCP que consulta o Hydra, entrega rápida e valor imediato) → WS3 sobre as duas anteriores.</w:t>
      </w:r>
    </w:p>
    <w:p>
      <w:pPr>
        <w:pStyle w:val="ListBullet"/>
      </w:pPr>
      <w:r>
        <w:rPr>
          <w:b/>
        </w:rPr>
        <w:t>Faseamento de valor</w:t>
      </w:r>
      <w:r>
        <w:t xml:space="preserve">: um MVP combinado (camada Hydra + MCP + pesquisa semântica sobre metadados) é entregável em </w:t>
      </w:r>
      <w:r>
        <w:rPr>
          <w:b/>
        </w:rPr>
        <w:t>~45–55 PD</w:t>
      </w:r>
      <w:r>
        <w:t xml:space="preserve"> e demonstra IA no portal logo no início.</w:t>
      </w:r>
    </w:p>
    <w:p>
      <w:pPr>
        <w:pStyle w:val="Heading1"/>
      </w:pPr>
      <w:r>
        <w:t>6. Pressupostos</w:t>
      </w:r>
    </w:p>
    <w:p>
      <w:pPr>
        <w:pStyle w:val="ListBullet"/>
      </w:pPr>
      <w:r>
        <w:t>API pública estável e documentada.</w:t>
      </w:r>
    </w:p>
    <w:p>
      <w:pPr>
        <w:pStyle w:val="ListBullet"/>
      </w:pPr>
      <w:r>
        <w:rPr>
          <w:b/>
        </w:rPr>
        <w:t>Hydra disponível, operacional e a cobrir os datasets relevantes</w:t>
      </w:r>
      <w:r>
        <w:t>; todas as consultas de dados da IA (via MCP) são executadas contra o Hydra. A sua API/schema é estável e acessível pela camada de consumo.</w:t>
      </w:r>
    </w:p>
    <w:p>
      <w:pPr>
        <w:pStyle w:val="ListBullet"/>
      </w:pPr>
      <w:r>
        <w:t>Infra de vector store disponibilizada apenas se forem realizadas as fases opcionais do WS2 (não está incluído o provisionamento de cloud nem os custos recorrentes de inferência LLM, que são OPEX, não esforço de desenvolvimento).</w:t>
      </w:r>
    </w:p>
    <w:p>
      <w:pPr>
        <w:pStyle w:val="ListBullet"/>
      </w:pPr>
      <w:r>
        <w:t>LLM via API gerida (Claude/OpenAI), não self-hosted.</w:t>
      </w:r>
    </w:p>
    <w:p>
      <w:pPr>
        <w:pStyle w:val="ListBullet"/>
      </w:pPr>
      <w:r>
        <w:t>Estimativa de desenvolvimento; não inclui gestão de projeto, UX research aprofundada nem formação de utilizadores finais.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